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Molecular/Genetics Scientist</w:t>
      </w:r>
      <w:r w:rsidDel="00000000" w:rsidR="00000000" w:rsidRPr="00000000">
        <w:rPr>
          <w:rtl w:val="0"/>
        </w:rPr>
      </w:r>
    </w:p>
    <w:p w:rsidR="00000000" w:rsidDel="00000000" w:rsidP="00000000" w:rsidRDefault="00000000" w:rsidRPr="00000000" w14:paraId="00000002">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Job Description</w:t>
      </w:r>
    </w:p>
    <w:p w:rsidR="00000000" w:rsidDel="00000000" w:rsidP="00000000" w:rsidRDefault="00000000" w:rsidRPr="00000000" w14:paraId="0000000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Reports To: Senior Scientist</w:t>
      </w:r>
    </w:p>
    <w:p w:rsidR="00000000" w:rsidDel="00000000" w:rsidP="00000000" w:rsidRDefault="00000000" w:rsidRPr="00000000" w14:paraId="0000000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Part/Full Time:  Full Time</w:t>
      </w:r>
    </w:p>
    <w:p w:rsidR="00000000" w:rsidDel="00000000" w:rsidP="00000000" w:rsidRDefault="00000000" w:rsidRPr="00000000" w14:paraId="00000007">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  </w:t>
      </w:r>
    </w:p>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PathogenDx, INC</w:t>
      </w:r>
    </w:p>
    <w:p w:rsidR="00000000" w:rsidDel="00000000" w:rsidP="00000000" w:rsidRDefault="00000000" w:rsidRPr="00000000" w14:paraId="0000000A">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Founded in 2014, PathogenDx operates in the botanical, agricultural, and diagnostic markets. The company utilizes our patented technology in sample preparation and microarrays to detect or quantify multiple analytes simultaneously.  </w:t>
      </w:r>
    </w:p>
    <w:p w:rsidR="00000000" w:rsidDel="00000000" w:rsidP="00000000" w:rsidRDefault="00000000" w:rsidRPr="00000000" w14:paraId="0000000C">
      <w:pPr>
        <w:widowControl w:val="0"/>
        <w:rPr>
          <w:rFonts w:ascii="Times New Roman" w:cs="Times New Roman" w:eastAsia="Times New Roman" w:hAnsi="Times New Roman"/>
          <w:b w:val="1"/>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Summary</w:t>
      </w:r>
    </w:p>
    <w:p w:rsidR="00000000" w:rsidDel="00000000" w:rsidP="00000000" w:rsidRDefault="00000000" w:rsidRPr="00000000" w14:paraId="0000000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Reporting to Senior Scientist with the responsibility to run experiments using PCR technology, documenting conditions, results and able to discern issues.</w:t>
      </w:r>
    </w:p>
    <w:p w:rsidR="00000000" w:rsidDel="00000000" w:rsidP="00000000" w:rsidRDefault="00000000" w:rsidRPr="00000000" w14:paraId="0000000F">
      <w:pPr>
        <w:widowControl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Essential Duties and Responsibilities (other duties may be assigned)</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12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tasks assigned by Senior Scientist</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12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setting up, documenting and recording experiments.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12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working with both micro and molecular methods.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12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Responsible for working closely with customers to deploy products in the field and to troubleshoot field related customer problems.</w:t>
      </w:r>
    </w:p>
    <w:p w:rsidR="00000000" w:rsidDel="00000000" w:rsidP="00000000" w:rsidRDefault="00000000" w:rsidRPr="00000000" w14:paraId="00000015">
      <w:pPr>
        <w:widowControl w:val="0"/>
        <w:tabs>
          <w:tab w:val="left" w:pos="1080"/>
        </w:tabs>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widowControl w:val="0"/>
        <w:tabs>
          <w:tab w:val="left" w:pos="1080"/>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Supervisory Responsibilities </w:t>
      </w:r>
    </w:p>
    <w:p w:rsidR="00000000" w:rsidDel="00000000" w:rsidP="00000000" w:rsidRDefault="00000000" w:rsidRPr="00000000" w14:paraId="0000001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120" w:right="0" w:hanging="40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Supervisory responsibilities</w:t>
      </w:r>
    </w:p>
    <w:p w:rsidR="00000000" w:rsidDel="00000000" w:rsidP="00000000" w:rsidRDefault="00000000" w:rsidRPr="00000000" w14:paraId="00000018">
      <w:pPr>
        <w:widowControl w:val="0"/>
        <w:tabs>
          <w:tab w:val="left" w:pos="1080"/>
        </w:tabs>
        <w:ind w:left="72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Measurement of Performance</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120" w:right="0" w:hanging="40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Senior Scientist will establish performance metrics for the Lab Technician within the first thirty (30) days of employment.</w:t>
      </w: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Qualifications</w:t>
      </w:r>
    </w:p>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Must have a BS or equivalent in a Biotechnology or a related field and &gt;</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yrs of industrial experience in nucleic acid diagnostics or an equivalent field.</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Experience operating in a CLIA certified lab conducting DNA or RNA based testing is highly encouraged.</w:t>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Must have the desire to learn new molecular techniques.</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independently on projects related to microarray hybridization and microarray analysis and Must have demonstrated high level skills in problem solving and exceptional laboratory skills. </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Work independently on projects related to optimization of microarray hybridization and microarray analysis and will work closely with customers to deploy PDX products in the field and to troubleshoot field related customer problems. </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Communicate effectively with both internal and external customers.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Disclaimer</w:t>
      </w:r>
    </w:p>
    <w:p w:rsidR="00000000" w:rsidDel="00000000" w:rsidP="00000000" w:rsidRDefault="00000000" w:rsidRPr="00000000" w14:paraId="0000002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This job description indicates in general terms, the type and level of work performed as well as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typical responsibilities of employees in this classification.  The duties described are not to be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interpreted as being all-inclusive to any specific employee. Management reserves the rights to</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 modify, change or rescind the work assignments of different positions and to make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reasonable accommodations so that qualified employees can perform the essential functions of</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job. Nothing in this position description changes the at-will employment relationship existing</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the Institution and its employees.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certify that I have reviewed and understand the duties, responsibilities and requirements in this Job Description.</w:t>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tabs>
          <w:tab w:val="left" w:pos="663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371600" cy="12700"/>
                <wp:effectExtent b="0" l="0" r="0" t="0"/>
                <wp:wrapNone/>
                <wp:docPr id="5" name=""/>
                <a:graphic>
                  <a:graphicData uri="http://schemas.microsoft.com/office/word/2010/wordprocessingShape">
                    <wps:wsp>
                      <wps:cNvCnPr/>
                      <wps:spPr>
                        <a:xfrm>
                          <a:off x="4660200" y="3780000"/>
                          <a:ext cx="13716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37160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3716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1257300" cy="12700"/>
                <wp:effectExtent b="0" l="0" r="0" t="0"/>
                <wp:wrapNone/>
                <wp:docPr id="6" name=""/>
                <a:graphic>
                  <a:graphicData uri="http://schemas.microsoft.com/office/word/2010/wordprocessingShape">
                    <wps:wsp>
                      <wps:cNvCnPr/>
                      <wps:spPr>
                        <a:xfrm>
                          <a:off x="4717350" y="3780000"/>
                          <a:ext cx="12573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114300</wp:posOffset>
                </wp:positionV>
                <wp:extent cx="1257300" cy="12700"/>
                <wp:effectExtent b="0" l="0" r="0" t="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57300" cy="12700"/>
                        </a:xfrm>
                        <a:prstGeom prst="rect"/>
                        <a:ln/>
                      </pic:spPr>
                    </pic:pic>
                  </a:graphicData>
                </a:graphic>
              </wp:anchor>
            </w:drawing>
          </mc:Fallback>
        </mc:AlternateContent>
      </w:r>
    </w:p>
    <w:p w:rsidR="00000000" w:rsidDel="00000000" w:rsidP="00000000" w:rsidRDefault="00000000" w:rsidRPr="00000000" w14:paraId="00000031">
      <w:pPr>
        <w:tabs>
          <w:tab w:val="left" w:pos="2723"/>
          <w:tab w:val="left" w:pos="6593"/>
        </w:tabs>
        <w:rPr>
          <w:b w:val="1"/>
          <w:sz w:val="20"/>
          <w:szCs w:val="20"/>
        </w:rPr>
      </w:pPr>
      <w:r w:rsidDel="00000000" w:rsidR="00000000" w:rsidRPr="00000000">
        <w:rPr>
          <w:rFonts w:ascii="Times New Roman" w:cs="Times New Roman" w:eastAsia="Times New Roman" w:hAnsi="Times New Roman"/>
          <w:b w:val="1"/>
          <w:sz w:val="20"/>
          <w:szCs w:val="20"/>
          <w:rtl w:val="0"/>
        </w:rPr>
        <w:t xml:space="preserve">Prospect</w:t>
        <w:tab/>
      </w:r>
      <w:r w:rsidDel="00000000" w:rsidR="00000000" w:rsidRPr="00000000">
        <w:rPr>
          <w:b w:val="1"/>
          <w:sz w:val="20"/>
          <w:szCs w:val="20"/>
          <w:rtl w:val="0"/>
        </w:rPr>
        <w:tab/>
        <w:t xml:space="preserve">Date</w:t>
        <w:tab/>
        <w:tab/>
      </w:r>
    </w:p>
    <w:sectPr>
      <w:pgSz w:h="15840" w:w="12240"/>
      <w:pgMar w:bottom="1440" w:top="1440" w:left="180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20" w:hanging="400"/>
      </w:pPr>
      <w:rPr>
        <w:rFonts w:ascii="Noto Sans Symbols" w:cs="Noto Sans Symbols" w:eastAsia="Noto Sans Symbols" w:hAnsi="Noto Sans Symbols"/>
        <w:b w:val="1"/>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56B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56BB2"/>
    <w:rPr>
      <w:rFonts w:ascii="Lucida Grande" w:cs="Lucida Grande" w:hAnsi="Lucida Grande"/>
      <w:sz w:val="18"/>
      <w:szCs w:val="18"/>
    </w:rPr>
  </w:style>
  <w:style w:type="paragraph" w:styleId="ListParagraph">
    <w:name w:val="List Paragraph"/>
    <w:basedOn w:val="Normal"/>
    <w:uiPriority w:val="34"/>
    <w:qFormat w:val="1"/>
    <w:rsid w:val="00E6603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h6d0O0chVAqf0njW8NnHSAOwQ==">AMUW2mVjPeCVMnjd1UumMGgdsctilvs1h8gXSIby9QGQx6hjO0E8/kXS3th+IiyRpv1VQXxn0HvTHFImHZzR722ixo4JigOadEe71psPpioak/yBj6gNet/QxfL0/AwX2y7FARrvPfPt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2017-11-21T00:56:00Z</dcterms:created>
  <dc:creator>Terri Bearden</dc:creator>
</cp:coreProperties>
</file>