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0pt;margin-top:36pt;width:612pt;height:195.5pt;mso-position-horizontal-relative:page;mso-position-vertical-relative:page;z-index:15729152" coordorigin="0,720" coordsize="12240,3910">
            <v:rect style="position:absolute;left:0;top:720;width:12240;height:744" filled="true" fillcolor="#363636" stroked="false">
              <v:fill type="solid"/>
            </v:rect>
            <v:shape style="position:absolute;left:864;top:819;width:607;height:546" type="#_x0000_t75" stroked="false">
              <v:imagedata r:id="rId5" o:title=""/>
            </v:shape>
            <v:shape style="position:absolute;left:720;top:1464;width:10796;height:3166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82;top:982;width:366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FFFFFF"/>
                        <w:sz w:val="32"/>
                      </w:rPr>
                      <w:t>T</w:t>
                    </w:r>
                    <w:r>
                      <w:rPr>
                        <w:rFonts w:ascii="Calibri"/>
                        <w:color w:val="FFFFFF"/>
                        <w:sz w:val="30"/>
                      </w:rPr>
                      <w:t>HE </w:t>
                    </w:r>
                    <w:r>
                      <w:rPr>
                        <w:rFonts w:ascii="Calibri"/>
                        <w:color w:val="FFFFFF"/>
                        <w:sz w:val="32"/>
                      </w:rPr>
                      <w:t>U</w:t>
                    </w:r>
                    <w:r>
                      <w:rPr>
                        <w:rFonts w:ascii="Calibri"/>
                        <w:color w:val="FFFFFF"/>
                        <w:sz w:val="30"/>
                      </w:rPr>
                      <w:t>NIVERSITY </w:t>
                    </w:r>
                    <w:r>
                      <w:rPr>
                        <w:rFonts w:ascii="Calibri"/>
                        <w:color w:val="FFFFFF"/>
                        <w:sz w:val="32"/>
                      </w:rPr>
                      <w:t>OF A</w:t>
                    </w:r>
                    <w:r>
                      <w:rPr>
                        <w:rFonts w:ascii="Calibri"/>
                        <w:color w:val="FFFFFF"/>
                        <w:sz w:val="30"/>
                      </w:rPr>
                      <w:t>RIZONA</w:t>
                    </w:r>
                  </w:p>
                </w:txbxContent>
              </v:textbox>
              <w10:wrap type="none"/>
            </v:shape>
            <v:shape style="position:absolute;left:6805;top:2769;width:4554;height:982" type="#_x0000_t202" filled="false" stroked="false">
              <v:textbox inset="0,0,0,0">
                <w:txbxContent>
                  <w:p>
                    <w:pPr>
                      <w:spacing w:line="408" w:lineRule="exact" w:before="0"/>
                      <w:ind w:left="0" w:right="18" w:firstLine="0"/>
                      <w:jc w:val="right"/>
                      <w:rPr>
                        <w:rFonts w:ascii="Calibri"/>
                        <w:sz w:val="40"/>
                      </w:rPr>
                    </w:pPr>
                    <w:r>
                      <w:rPr>
                        <w:rFonts w:ascii="Calibri"/>
                        <w:color w:val="FFFFFF"/>
                        <w:sz w:val="40"/>
                      </w:rPr>
                      <w:t>School of </w:t>
                    </w:r>
                    <w:r>
                      <w:rPr>
                        <w:rFonts w:ascii="Calibri"/>
                        <w:color w:val="FFFFFF"/>
                        <w:spacing w:val="-3"/>
                        <w:sz w:val="40"/>
                      </w:rPr>
                      <w:t>Natural</w:t>
                    </w:r>
                    <w:r>
                      <w:rPr>
                        <w:rFonts w:ascii="Calibri"/>
                        <w:color w:val="FFFFFF"/>
                        <w:spacing w:val="-11"/>
                        <w:sz w:val="40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40"/>
                      </w:rPr>
                      <w:t>Resources</w:t>
                    </w:r>
                  </w:p>
                  <w:p>
                    <w:pPr>
                      <w:spacing w:line="481" w:lineRule="exact" w:before="92"/>
                      <w:ind w:left="0" w:right="18" w:firstLine="0"/>
                      <w:jc w:val="right"/>
                      <w:rPr>
                        <w:rFonts w:ascii="Calibri"/>
                        <w:sz w:val="40"/>
                      </w:rPr>
                    </w:pPr>
                    <w:r>
                      <w:rPr>
                        <w:rFonts w:ascii="Calibri"/>
                        <w:color w:val="FFFFFF"/>
                        <w:sz w:val="40"/>
                      </w:rPr>
                      <w:t>and the</w:t>
                    </w:r>
                    <w:r>
                      <w:rPr>
                        <w:rFonts w:ascii="Calibri"/>
                        <w:color w:val="FFFFFF"/>
                        <w:spacing w:val="10"/>
                        <w:sz w:val="40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-3"/>
                        <w:sz w:val="40"/>
                      </w:rPr>
                      <w:t>Environment</w:t>
                    </w:r>
                  </w:p>
                </w:txbxContent>
              </v:textbox>
              <w10:wrap type="none"/>
            </v:shape>
            <v:shape style="position:absolute;left:720;top:3924;width:10800;height:705" type="#_x0000_t202" filled="true" fillcolor="#363636" stroked="false">
              <v:textbox inset="0,0,0,0">
                <w:txbxContent>
                  <w:p>
                    <w:pPr>
                      <w:spacing w:before="91"/>
                      <w:ind w:left="151" w:right="0" w:firstLine="0"/>
                      <w:jc w:val="left"/>
                      <w:rPr>
                        <w:rFonts w:ascii="Calibri Light"/>
                        <w:b w:val="0"/>
                        <w:sz w:val="26"/>
                      </w:rPr>
                    </w:pPr>
                    <w:r>
                      <w:rPr>
                        <w:rFonts w:ascii="Calibri Light"/>
                        <w:b w:val="0"/>
                        <w:color w:val="FFFFFF"/>
                        <w:sz w:val="26"/>
                      </w:rPr>
                      <w:t>Spring 2021 Seminar Series: Indigenous Knowledge and Tribal Natural Resource Management</w:t>
                    </w:r>
                  </w:p>
                </w:txbxContent>
              </v:textbox>
              <v:fill opacity="48316f" type="solid"/>
              <w10:wrap type="none"/>
            </v:shape>
            <w10:wrap type="none"/>
          </v:group>
        </w:pict>
      </w:r>
      <w:r>
        <w:rPr/>
        <w:pict>
          <v:group style="position:absolute;margin-left:0pt;margin-top:680.549988pt;width:612pt;height:109.95pt;mso-position-horizontal-relative:page;mso-position-vertical-relative:page;z-index:-15783424" coordorigin="0,13611" coordsize="12240,2199">
            <v:rect style="position:absolute;left:0;top:13611;width:12240;height:1509" filled="true" fillcolor="#363636" stroked="false">
              <v:fill type="solid"/>
            </v:rect>
            <v:shape style="position:absolute;left:10902;top:13680;width:668;height:660" type="#_x0000_t75" stroked="false">
              <v:imagedata r:id="rId7" o:title=""/>
            </v:shape>
            <v:shape style="position:absolute;left:10082;top:13680;width:668;height:660" type="#_x0000_t75" stroked="false">
              <v:imagedata r:id="rId8" o:title=""/>
            </v:shape>
            <v:shape style="position:absolute;left:9217;top:13680;width:704;height:660" type="#_x0000_t75" stroked="false">
              <v:imagedata r:id="rId9" o:title=""/>
            </v:shape>
            <v:shape style="position:absolute;left:9217;top:15187;width:2866;height:622" type="#_x0000_t75" stroked="false">
              <v:imagedata r:id="rId10" o:title=""/>
            </v:shape>
            <v:shape style="position:absolute;left:60;top:13782;width:4403;height:78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The School of Natural Resources and the Environment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1064 E. Lowell St. ENR 2 Ph.: (520) 621-7255</w:t>
                    </w:r>
                  </w:p>
                  <w:p>
                    <w:pPr>
                      <w:spacing w:line="240" w:lineRule="exact" w:before="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| Fax (520) 621-8801 </w:t>
                    </w:r>
                    <w:hyperlink r:id="rId11">
                      <w:r>
                        <w:rPr>
                          <w:rFonts w:ascii="Calibri"/>
                          <w:color w:val="FFFFFF"/>
                          <w:sz w:val="20"/>
                        </w:rPr>
                        <w:t>www.snre.arizona.edu</w:t>
                      </w:r>
                    </w:hyperlink>
                  </w:p>
                </w:txbxContent>
              </v:textbox>
              <w10:wrap type="none"/>
            </v:shape>
            <v:shape style="position:absolute;left:5249;top:14494;width:6622;height:44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23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SPONSORED BY UARIZONA- SLOAN INDIGENOUS GRADUATE</w:t>
                    </w:r>
                    <w:r>
                      <w:rPr>
                        <w:rFonts w:ascii="Calibri"/>
                        <w:color w:val="FFFFFF"/>
                        <w:spacing w:val="-2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PARTNERSHIP</w:t>
                    </w:r>
                  </w:p>
                  <w:p>
                    <w:pPr>
                      <w:spacing w:line="216" w:lineRule="exact" w:before="42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&amp;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INDIGENOUS</w:t>
                    </w:r>
                    <w:r>
                      <w:rPr>
                        <w:rFonts w:ascii="Calibri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FOOD,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ENERGY,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WATER,</w:t>
                    </w:r>
                    <w:r>
                      <w:rPr>
                        <w:rFonts w:ascii="Calibri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SECURITY</w:t>
                    </w:r>
                    <w:r>
                      <w:rPr>
                        <w:rFonts w:ascii="Calibri"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SOVEREIGNTY-KARLETTA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CHIEF,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8"/>
                      </w:rPr>
                      <w:t>PI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Title"/>
        <w:spacing w:line="218" w:lineRule="auto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5284470</wp:posOffset>
            </wp:positionH>
            <wp:positionV relativeFrom="paragraph">
              <wp:posOffset>135018</wp:posOffset>
            </wp:positionV>
            <wp:extent cx="2030729" cy="2710941"/>
            <wp:effectExtent l="0" t="0" r="0" b="0"/>
            <wp:wrapNone/>
            <wp:docPr id="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29" cy="271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Animals, Lands &amp; More than Human Agency in Natural Resource Management</w:t>
      </w:r>
    </w:p>
    <w:p>
      <w:pPr>
        <w:spacing w:line="397" w:lineRule="exact" w:before="131"/>
        <w:ind w:left="849" w:right="0" w:firstLine="0"/>
        <w:jc w:val="left"/>
        <w:rPr>
          <w:sz w:val="36"/>
        </w:rPr>
      </w:pPr>
      <w:r>
        <w:rPr>
          <w:sz w:val="36"/>
        </w:rPr>
        <w:t>SPEAKER</w:t>
      </w:r>
      <w:r>
        <w:rPr>
          <w:sz w:val="28"/>
        </w:rPr>
        <w:t>: </w:t>
      </w:r>
      <w:r>
        <w:rPr>
          <w:sz w:val="36"/>
        </w:rPr>
        <w:t>Kelsey Dayle John</w:t>
      </w:r>
    </w:p>
    <w:p>
      <w:pPr>
        <w:spacing w:line="426" w:lineRule="exact" w:before="0"/>
        <w:ind w:left="849" w:right="0" w:firstLine="0"/>
        <w:jc w:val="left"/>
        <w:rPr>
          <w:sz w:val="40"/>
        </w:rPr>
      </w:pPr>
      <w:r>
        <w:rPr>
          <w:sz w:val="36"/>
        </w:rPr>
        <w:t>DATE</w:t>
      </w:r>
      <w:r>
        <w:rPr>
          <w:sz w:val="32"/>
        </w:rPr>
        <w:t>: </w:t>
      </w:r>
      <w:r>
        <w:rPr>
          <w:sz w:val="40"/>
        </w:rPr>
        <w:t>Wednesday, February 10th</w:t>
      </w:r>
    </w:p>
    <w:p>
      <w:pPr>
        <w:spacing w:line="442" w:lineRule="exact" w:before="0"/>
        <w:ind w:left="849" w:right="0" w:firstLine="0"/>
        <w:jc w:val="left"/>
        <w:rPr>
          <w:sz w:val="40"/>
        </w:rPr>
      </w:pPr>
      <w:r>
        <w:rPr>
          <w:sz w:val="36"/>
        </w:rPr>
        <w:t>TIME</w:t>
      </w:r>
      <w:r>
        <w:rPr>
          <w:sz w:val="40"/>
        </w:rPr>
        <w:t>: 3:00-4:00 pm</w:t>
      </w:r>
    </w:p>
    <w:p>
      <w:pPr>
        <w:spacing w:before="46"/>
        <w:ind w:left="849" w:right="0" w:firstLine="0"/>
        <w:jc w:val="left"/>
        <w:rPr>
          <w:sz w:val="32"/>
        </w:rPr>
      </w:pPr>
      <w:r>
        <w:rPr>
          <w:sz w:val="36"/>
        </w:rPr>
        <w:t>LOCATION</w:t>
      </w:r>
      <w:r>
        <w:rPr>
          <w:sz w:val="32"/>
        </w:rPr>
        <w:t>: https://arizona.zoom.us/j/355039068</w:t>
      </w:r>
    </w:p>
    <w:p>
      <w:pPr>
        <w:pStyle w:val="BodyText"/>
        <w:spacing w:before="38"/>
        <w:ind w:left="849"/>
      </w:pPr>
      <w:r>
        <w:rPr>
          <w:sz w:val="36"/>
        </w:rPr>
        <w:t>BIO</w:t>
      </w:r>
      <w:r>
        <w:rPr>
          <w:sz w:val="40"/>
        </w:rPr>
        <w:t>: </w:t>
      </w:r>
      <w:r>
        <w:rPr/>
        <w:t>Kelsey Dayle John is an assistant professor with a joint</w:t>
      </w:r>
    </w:p>
    <w:p>
      <w:pPr>
        <w:pStyle w:val="BodyText"/>
        <w:spacing w:line="320" w:lineRule="exact" w:before="5"/>
        <w:ind w:left="849"/>
      </w:pPr>
      <w:r>
        <w:rPr/>
        <w:t>appointment in American Indian Studies and Gender and</w:t>
      </w:r>
    </w:p>
    <w:p>
      <w:pPr>
        <w:pStyle w:val="BodyText"/>
        <w:spacing w:line="235" w:lineRule="auto" w:before="3"/>
        <w:ind w:left="849" w:right="3842"/>
      </w:pPr>
      <w:r>
        <w:rPr>
          <w:spacing w:val="-5"/>
        </w:rPr>
        <w:t>Women’s </w:t>
      </w:r>
      <w:r>
        <w:rPr/>
        <w:t>Studies. Her work is centered on animal relationalities, particularly horse/human relationships as ways of</w:t>
      </w:r>
      <w:r>
        <w:rPr>
          <w:spacing w:val="-13"/>
        </w:rPr>
        <w:t> </w:t>
      </w:r>
      <w:r>
        <w:rPr/>
        <w:t>knowing,</w:t>
      </w:r>
    </w:p>
    <w:p>
      <w:pPr>
        <w:pStyle w:val="BodyText"/>
        <w:spacing w:line="317" w:lineRule="exact"/>
        <w:ind w:left="849"/>
      </w:pPr>
      <w:r>
        <w:rPr/>
        <w:t>healing, and decolonizing education. Alongside her work</w:t>
      </w:r>
      <w:r>
        <w:rPr>
          <w:spacing w:val="-49"/>
        </w:rPr>
        <w:t> </w:t>
      </w:r>
      <w:r>
        <w:rPr/>
        <w:t>in</w:t>
      </w:r>
    </w:p>
    <w:p>
      <w:pPr>
        <w:pStyle w:val="BodyText"/>
        <w:spacing w:line="237" w:lineRule="auto"/>
        <w:ind w:left="849" w:right="966"/>
        <w:jc w:val="both"/>
      </w:pPr>
      <w:r>
        <w:rPr/>
        <w:t>Indigenous animal studies, Kelsey’s research interests also include: Indigenous feminisms, decolonizing methodologies, and </w:t>
      </w:r>
      <w:r>
        <w:rPr>
          <w:spacing w:val="-3"/>
        </w:rPr>
        <w:t>Tribal </w:t>
      </w:r>
      <w:r>
        <w:rPr/>
        <w:t>College and Universities. She finds her theoretical locations within transnational feminism, Indigenous studies, settler colonial studies, Dine’ Studies, and foundations of education.</w:t>
      </w:r>
    </w:p>
    <w:p>
      <w:pPr>
        <w:pStyle w:val="BodyText"/>
        <w:spacing w:line="220" w:lineRule="auto" w:before="173"/>
        <w:ind w:left="849" w:right="668"/>
      </w:pPr>
      <w:r>
        <w:rPr/>
        <w:t>Previously, Kelsey taught in the Dine’ Studies department at Navajo Technical University on Navajo Nation. For her dissertation research, she worked in partnership with the Navajo</w:t>
      </w:r>
    </w:p>
    <w:p>
      <w:pPr>
        <w:pStyle w:val="BodyText"/>
        <w:spacing w:line="220" w:lineRule="auto" w:before="1"/>
        <w:ind w:left="849" w:right="226"/>
      </w:pPr>
      <w:r>
        <w:rPr/>
        <w:t>Nation community to think about how horse knowledges and relationalities can help improve tribal university research and outreach. As a Ph.D. student, she was a National Science Foundation Graduate Research Fellow and a National Academy of Education/Spencer Foundation Dissertation Fellow. Kelsey’s work in her community consists of organizing an</w:t>
      </w:r>
    </w:p>
    <w:p>
      <w:pPr>
        <w:pStyle w:val="BodyText"/>
        <w:spacing w:line="220" w:lineRule="auto" w:before="1"/>
        <w:ind w:left="849" w:right="816"/>
      </w:pPr>
      <w:r>
        <w:rPr/>
        <w:t>annual Horse Conference as a space to promote dialogue about the sacredness of horses and to connect tribal universities with the community.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2705</wp:posOffset>
            </wp:positionH>
            <wp:positionV relativeFrom="paragraph">
              <wp:posOffset>218792</wp:posOffset>
            </wp:positionV>
            <wp:extent cx="2231853" cy="386715"/>
            <wp:effectExtent l="0" t="0" r="0" b="0"/>
            <wp:wrapTopAndBottom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853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720" w:bottom="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8"/>
      <w:ind w:left="849" w:right="3842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yperlink" Target="http://www.snre.arizona.edu/" TargetMode="External"/><Relationship Id="rId12" Type="http://schemas.openxmlformats.org/officeDocument/2006/relationships/image" Target="media/image7.jpeg"/><Relationship Id="rId13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dcterms:created xsi:type="dcterms:W3CDTF">2021-02-08T19:27:05Z</dcterms:created>
  <dcterms:modified xsi:type="dcterms:W3CDTF">2021-02-08T19:27:05Z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2021-02-08T00:00:00Z</vt:filetime>
  </property>
</Properties>
</file>