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tbl>
      <w:tblPr>
        <w:tblW w:w="8707" w:type="dxa"/>
        <w:jc w:val="center"/>
        <w:tblLayout w:type="fixed"/>
        <w:tblLook w:val="0000" w:firstRow="0" w:lastRow="0" w:firstColumn="0" w:lastColumn="0" w:noHBand="0" w:noVBand="0"/>
      </w:tblPr>
      <w:tblGrid>
        <w:gridCol w:w="1378"/>
        <w:gridCol w:w="1574"/>
        <w:gridCol w:w="1124"/>
        <w:gridCol w:w="1349"/>
        <w:gridCol w:w="1011"/>
        <w:gridCol w:w="2271"/>
      </w:tblGrid>
      <w:tr w:rsidR="005D1AE1" w14:paraId="622C181D" w14:textId="77777777" w:rsidTr="005D1AE1">
        <w:trPr>
          <w:trHeight w:val="1434"/>
          <w:jc w:val="center"/>
        </w:trPr>
        <w:tc>
          <w:tcPr>
            <w:tcW w:w="1378" w:type="dxa"/>
          </w:tcPr>
          <w:p w14:paraId="46A97309" w14:textId="432B4A37" w:rsidR="005D1AE1" w:rsidRDefault="004658F5">
            <w:r>
              <w:rPr>
                <w:noProof/>
                <w:lang w:val="en-US"/>
              </w:rPr>
              <w:drawing>
                <wp:inline distT="0" distB="0" distL="0" distR="0" wp14:anchorId="4F5EF50A" wp14:editId="6A8D20AC">
                  <wp:extent cx="800100" cy="409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409575"/>
                          </a:xfrm>
                          <a:prstGeom prst="rect">
                            <a:avLst/>
                          </a:prstGeom>
                          <a:noFill/>
                          <a:ln>
                            <a:noFill/>
                          </a:ln>
                        </pic:spPr>
                      </pic:pic>
                    </a:graphicData>
                  </a:graphic>
                </wp:inline>
              </w:drawing>
            </w:r>
          </w:p>
        </w:tc>
        <w:tc>
          <w:tcPr>
            <w:tcW w:w="1574" w:type="dxa"/>
          </w:tcPr>
          <w:p w14:paraId="6DAEF443" w14:textId="205A841D" w:rsidR="005D1AE1" w:rsidRDefault="004658F5">
            <w:r>
              <w:rPr>
                <w:noProof/>
                <w:lang w:val="en-US"/>
              </w:rPr>
              <w:drawing>
                <wp:inline distT="0" distB="0" distL="0" distR="0" wp14:anchorId="08EB61AB" wp14:editId="79071917">
                  <wp:extent cx="847725" cy="390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7725" cy="390525"/>
                          </a:xfrm>
                          <a:prstGeom prst="rect">
                            <a:avLst/>
                          </a:prstGeom>
                          <a:noFill/>
                          <a:ln>
                            <a:noFill/>
                          </a:ln>
                        </pic:spPr>
                      </pic:pic>
                    </a:graphicData>
                  </a:graphic>
                </wp:inline>
              </w:drawing>
            </w:r>
          </w:p>
        </w:tc>
        <w:tc>
          <w:tcPr>
            <w:tcW w:w="1124" w:type="dxa"/>
          </w:tcPr>
          <w:p w14:paraId="6BDD9FEE" w14:textId="77777777" w:rsidR="005D1AE1" w:rsidRDefault="007E6EB3" w:rsidP="00BC78CD">
            <w:r>
              <w:rPr>
                <w:b/>
                <w:noProof/>
                <w:u w:val="single"/>
                <w:lang w:val="en-US"/>
              </w:rPr>
              <w:pict w14:anchorId="47A774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15pt;margin-top:1.15pt;width:52.9pt;height:54.2pt;z-index:251657728;mso-wrap-edited:f;mso-position-horizontal-relative:text;mso-position-vertical-relative:text" wrapcoords="-154 0 -154 21300 21600 21300 21600 0 -154 0">
                  <v:imagedata r:id="rId11" o:title=""/>
                  <w10:wrap type="tight"/>
                </v:shape>
                <o:OLEObject Type="Embed" ProgID="Word.Picture.8" ShapeID="_x0000_s1026" DrawAspect="Content" ObjectID="_1577954684" r:id="rId12"/>
              </w:pict>
            </w:r>
          </w:p>
        </w:tc>
        <w:tc>
          <w:tcPr>
            <w:tcW w:w="1349" w:type="dxa"/>
          </w:tcPr>
          <w:p w14:paraId="304D5563" w14:textId="76E67190" w:rsidR="005D1AE1" w:rsidRDefault="004658F5">
            <w:r>
              <w:rPr>
                <w:noProof/>
                <w:lang w:val="en-US"/>
              </w:rPr>
              <w:drawing>
                <wp:inline distT="0" distB="0" distL="0" distR="0" wp14:anchorId="490E9937" wp14:editId="435D8C91">
                  <wp:extent cx="771525" cy="495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1525" cy="495300"/>
                          </a:xfrm>
                          <a:prstGeom prst="rect">
                            <a:avLst/>
                          </a:prstGeom>
                          <a:noFill/>
                          <a:ln>
                            <a:noFill/>
                          </a:ln>
                        </pic:spPr>
                      </pic:pic>
                    </a:graphicData>
                  </a:graphic>
                </wp:inline>
              </w:drawing>
            </w:r>
          </w:p>
        </w:tc>
        <w:tc>
          <w:tcPr>
            <w:tcW w:w="1011" w:type="dxa"/>
          </w:tcPr>
          <w:p w14:paraId="21D18E69" w14:textId="10D6DF8D" w:rsidR="005D1AE1" w:rsidRDefault="004658F5" w:rsidP="005D1AE1">
            <w:r>
              <w:rPr>
                <w:noProof/>
                <w:lang w:val="en-US"/>
              </w:rPr>
              <w:drawing>
                <wp:inline distT="0" distB="0" distL="0" distR="0" wp14:anchorId="5018A061" wp14:editId="270F4BAC">
                  <wp:extent cx="495300" cy="542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 cy="542925"/>
                          </a:xfrm>
                          <a:prstGeom prst="rect">
                            <a:avLst/>
                          </a:prstGeom>
                          <a:noFill/>
                          <a:ln>
                            <a:noFill/>
                          </a:ln>
                        </pic:spPr>
                      </pic:pic>
                    </a:graphicData>
                  </a:graphic>
                </wp:inline>
              </w:drawing>
            </w:r>
          </w:p>
        </w:tc>
        <w:tc>
          <w:tcPr>
            <w:tcW w:w="2271" w:type="dxa"/>
          </w:tcPr>
          <w:p w14:paraId="7F5104A5" w14:textId="636A30A9" w:rsidR="005D1AE1" w:rsidRDefault="004658F5" w:rsidP="00BC78CD">
            <w:pPr>
              <w:jc w:val="right"/>
            </w:pPr>
            <w:r>
              <w:rPr>
                <w:noProof/>
                <w:lang w:val="en-US"/>
              </w:rPr>
              <w:drawing>
                <wp:inline distT="0" distB="0" distL="0" distR="0" wp14:anchorId="5BCD9B6D" wp14:editId="6EB9A7E0">
                  <wp:extent cx="1381125" cy="419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1125" cy="419100"/>
                          </a:xfrm>
                          <a:prstGeom prst="rect">
                            <a:avLst/>
                          </a:prstGeom>
                          <a:noFill/>
                          <a:ln>
                            <a:noFill/>
                          </a:ln>
                        </pic:spPr>
                      </pic:pic>
                    </a:graphicData>
                  </a:graphic>
                </wp:inline>
              </w:drawing>
            </w:r>
          </w:p>
        </w:tc>
      </w:tr>
    </w:tbl>
    <w:p w14:paraId="0A565CF2" w14:textId="6CF5D3F0" w:rsidR="009F1D48" w:rsidRDefault="000A54DB" w:rsidP="002F5D38">
      <w:pPr>
        <w:jc w:val="center"/>
        <w:rPr>
          <w:b/>
          <w:u w:val="single"/>
        </w:rPr>
      </w:pPr>
      <w:r>
        <w:rPr>
          <w:b/>
        </w:rPr>
        <w:t xml:space="preserve">Dana+20: Mobile </w:t>
      </w:r>
      <w:r w:rsidR="00D52920">
        <w:rPr>
          <w:b/>
        </w:rPr>
        <w:t xml:space="preserve">Indigenous </w:t>
      </w:r>
      <w:r>
        <w:rPr>
          <w:b/>
        </w:rPr>
        <w:t>Peoples, Con</w:t>
      </w:r>
      <w:r w:rsidR="00A22CBF">
        <w:rPr>
          <w:b/>
        </w:rPr>
        <w:t>s</w:t>
      </w:r>
      <w:r>
        <w:rPr>
          <w:b/>
        </w:rPr>
        <w:t>ervation, Sustainable Development, and Climate Cha</w:t>
      </w:r>
      <w:r w:rsidR="00A22CBF">
        <w:rPr>
          <w:b/>
        </w:rPr>
        <w:t>n</w:t>
      </w:r>
      <w:r>
        <w:rPr>
          <w:b/>
        </w:rPr>
        <w:t xml:space="preserve">ge Two Decades after the Dana Declaration </w:t>
      </w:r>
      <w:r w:rsidR="009F1D48">
        <w:rPr>
          <w:b/>
        </w:rPr>
        <w:t xml:space="preserve"> </w:t>
      </w:r>
    </w:p>
    <w:p w14:paraId="2E38589A" w14:textId="77777777" w:rsidR="004126AF" w:rsidRDefault="004126AF">
      <w:pPr>
        <w:rPr>
          <w:b/>
          <w:u w:val="single"/>
        </w:rPr>
      </w:pPr>
    </w:p>
    <w:p w14:paraId="42ABD7A0" w14:textId="7C581170" w:rsidR="009F1D48" w:rsidRDefault="00711DA4" w:rsidP="000823CF">
      <w:pPr>
        <w:outlineLvl w:val="0"/>
        <w:rPr>
          <w:bCs/>
          <w:sz w:val="22"/>
          <w:szCs w:val="22"/>
          <w:u w:val="single"/>
        </w:rPr>
      </w:pPr>
      <w:r w:rsidRPr="002F5D38">
        <w:rPr>
          <w:bCs/>
          <w:sz w:val="22"/>
          <w:szCs w:val="22"/>
          <w:u w:val="single"/>
        </w:rPr>
        <w:t xml:space="preserve">Funding Proposal </w:t>
      </w:r>
      <w:r w:rsidR="009F1D48" w:rsidRPr="002F5D38">
        <w:rPr>
          <w:bCs/>
          <w:sz w:val="22"/>
          <w:szCs w:val="22"/>
          <w:u w:val="single"/>
        </w:rPr>
        <w:t>Summary</w:t>
      </w:r>
    </w:p>
    <w:p w14:paraId="59A1E807" w14:textId="77777777" w:rsidR="002F5D38" w:rsidRPr="002F5D38" w:rsidRDefault="002F5D38">
      <w:pPr>
        <w:rPr>
          <w:bCs/>
          <w:sz w:val="22"/>
          <w:szCs w:val="22"/>
          <w:u w:val="single"/>
        </w:rPr>
      </w:pPr>
    </w:p>
    <w:p w14:paraId="557BDA22" w14:textId="3F05BACE" w:rsidR="009F1D48" w:rsidRPr="002F5D38" w:rsidRDefault="10E53A0F">
      <w:pPr>
        <w:rPr>
          <w:sz w:val="22"/>
          <w:szCs w:val="22"/>
        </w:rPr>
      </w:pPr>
      <w:r w:rsidRPr="002F5D38">
        <w:rPr>
          <w:sz w:val="22"/>
          <w:szCs w:val="22"/>
        </w:rPr>
        <w:t>Mobile indigenous peoples (</w:t>
      </w:r>
      <w:r w:rsidR="0021788F" w:rsidRPr="002F5D38">
        <w:rPr>
          <w:sz w:val="22"/>
          <w:szCs w:val="22"/>
        </w:rPr>
        <w:t>e.g.,</w:t>
      </w:r>
      <w:r w:rsidRPr="002F5D38">
        <w:rPr>
          <w:sz w:val="22"/>
          <w:szCs w:val="22"/>
        </w:rPr>
        <w:t xml:space="preserve"> pastoralists, </w:t>
      </w:r>
      <w:proofErr w:type="spellStart"/>
      <w:r w:rsidR="000A54DB">
        <w:rPr>
          <w:sz w:val="22"/>
          <w:szCs w:val="22"/>
        </w:rPr>
        <w:t>swi</w:t>
      </w:r>
      <w:r w:rsidR="000E1A4A">
        <w:rPr>
          <w:sz w:val="22"/>
          <w:szCs w:val="22"/>
        </w:rPr>
        <w:t>dden</w:t>
      </w:r>
      <w:proofErr w:type="spellEnd"/>
      <w:r w:rsidR="000E1A4A">
        <w:rPr>
          <w:sz w:val="22"/>
          <w:szCs w:val="22"/>
        </w:rPr>
        <w:t xml:space="preserve"> farmers,</w:t>
      </w:r>
      <w:r w:rsidR="000A54DB">
        <w:rPr>
          <w:sz w:val="22"/>
          <w:szCs w:val="22"/>
        </w:rPr>
        <w:t xml:space="preserve"> and </w:t>
      </w:r>
      <w:r w:rsidRPr="002F5D38">
        <w:rPr>
          <w:sz w:val="22"/>
          <w:szCs w:val="22"/>
        </w:rPr>
        <w:t xml:space="preserve">hunter-gatherers) have sustainably managed the lands they lived on for centuries. However, throughout the modern era and especially in recent decades, many have been displaced, dispossessed and expelled from their traditional territories, forced to settle and prevented from practicing the forms of mobility upon which their livelihoods and social systems are based. These restrictions have left many destitute and disrupted the cultural foundations of mobile indigenous identities. While the aims of settling </w:t>
      </w:r>
      <w:r w:rsidR="000A54DB">
        <w:rPr>
          <w:sz w:val="22"/>
          <w:szCs w:val="22"/>
        </w:rPr>
        <w:t xml:space="preserve">mobile peoples </w:t>
      </w:r>
      <w:r w:rsidRPr="002F5D38">
        <w:rPr>
          <w:sz w:val="22"/>
          <w:szCs w:val="22"/>
        </w:rPr>
        <w:t xml:space="preserve">have largely been discarded in the rhetoric of conservation, development and human rights advocacy, practical steps toward land restitution and mobility governance have not been forthcoming. Policy has not kept pace with advances in thinking about the relationship between mobile peoples, the state, and territory. Nor do states and international actors often live up to public declarations of concern for human rights of mobile peoples. </w:t>
      </w:r>
      <w:proofErr w:type="spellStart"/>
      <w:r w:rsidRPr="002F5D38">
        <w:rPr>
          <w:sz w:val="22"/>
          <w:szCs w:val="22"/>
        </w:rPr>
        <w:t>Sedentarisation</w:t>
      </w:r>
      <w:proofErr w:type="spellEnd"/>
      <w:r w:rsidRPr="002F5D38">
        <w:rPr>
          <w:sz w:val="22"/>
          <w:szCs w:val="22"/>
        </w:rPr>
        <w:t xml:space="preserve"> policies have become less domineering and overt, but a bias</w:t>
      </w:r>
      <w:r w:rsidR="000E1A4A">
        <w:rPr>
          <w:sz w:val="22"/>
          <w:szCs w:val="22"/>
        </w:rPr>
        <w:t xml:space="preserve"> towards the settled</w:t>
      </w:r>
      <w:r w:rsidRPr="002F5D38">
        <w:rPr>
          <w:sz w:val="22"/>
          <w:szCs w:val="22"/>
        </w:rPr>
        <w:t xml:space="preserve"> remains pervasive</w:t>
      </w:r>
      <w:r w:rsidR="000A54DB">
        <w:rPr>
          <w:sz w:val="22"/>
          <w:szCs w:val="22"/>
        </w:rPr>
        <w:t>, if unconscious</w:t>
      </w:r>
      <w:r w:rsidR="000E1A4A">
        <w:rPr>
          <w:sz w:val="22"/>
          <w:szCs w:val="22"/>
        </w:rPr>
        <w:t>,</w:t>
      </w:r>
      <w:r w:rsidR="000A54DB">
        <w:rPr>
          <w:sz w:val="22"/>
          <w:szCs w:val="22"/>
        </w:rPr>
        <w:t xml:space="preserve"> in much development thinking. Mobile peoples, </w:t>
      </w:r>
      <w:r w:rsidR="000E1A4A">
        <w:rPr>
          <w:sz w:val="22"/>
          <w:szCs w:val="22"/>
        </w:rPr>
        <w:t xml:space="preserve">even </w:t>
      </w:r>
      <w:r w:rsidR="000A54DB">
        <w:rPr>
          <w:sz w:val="22"/>
          <w:szCs w:val="22"/>
        </w:rPr>
        <w:t>as rights-holders</w:t>
      </w:r>
      <w:r w:rsidR="000E1A4A">
        <w:rPr>
          <w:sz w:val="22"/>
          <w:szCs w:val="22"/>
        </w:rPr>
        <w:t>,</w:t>
      </w:r>
      <w:r w:rsidR="002E0B6E">
        <w:rPr>
          <w:sz w:val="22"/>
          <w:szCs w:val="22"/>
        </w:rPr>
        <w:t xml:space="preserve"> continue to be marginalized in policy and </w:t>
      </w:r>
      <w:r w:rsidR="0021788F">
        <w:rPr>
          <w:sz w:val="22"/>
          <w:szCs w:val="22"/>
        </w:rPr>
        <w:t>practice.</w:t>
      </w:r>
      <w:r w:rsidRPr="002F5D38">
        <w:rPr>
          <w:sz w:val="22"/>
          <w:szCs w:val="22"/>
        </w:rPr>
        <w:t xml:space="preserve"> </w:t>
      </w:r>
    </w:p>
    <w:p w14:paraId="0B6C2F5C" w14:textId="59DC37F1" w:rsidR="00C22D90" w:rsidRPr="002F5D38" w:rsidRDefault="10E53A0F" w:rsidP="000C231C">
      <w:pPr>
        <w:ind w:firstLine="720"/>
        <w:rPr>
          <w:sz w:val="22"/>
          <w:szCs w:val="22"/>
        </w:rPr>
      </w:pPr>
      <w:r w:rsidRPr="002F5D38">
        <w:rPr>
          <w:sz w:val="22"/>
          <w:szCs w:val="22"/>
        </w:rPr>
        <w:t>Since 2002, the Dana Declaration Standing Committee has worked with other bodies to address the concerns regarding the welfare of mobile indigenous peoples in sustainable development in general and in biodiversity conservation in particular. A key product was the Dana Declaration on Conservation and Mobile Peoples (</w:t>
      </w:r>
      <w:hyperlink r:id="rId16">
        <w:r w:rsidRPr="002F5D38">
          <w:rPr>
            <w:rStyle w:val="Hyperlink"/>
            <w:sz w:val="22"/>
            <w:szCs w:val="22"/>
          </w:rPr>
          <w:t>www.danadeclaration.org</w:t>
        </w:r>
      </w:hyperlink>
      <w:r w:rsidRPr="002F5D38">
        <w:rPr>
          <w:sz w:val="22"/>
          <w:szCs w:val="22"/>
        </w:rPr>
        <w:t>), which provide</w:t>
      </w:r>
      <w:r w:rsidR="002E0B6E">
        <w:rPr>
          <w:sz w:val="22"/>
          <w:szCs w:val="22"/>
        </w:rPr>
        <w:t>d</w:t>
      </w:r>
      <w:r w:rsidRPr="002F5D38">
        <w:rPr>
          <w:sz w:val="22"/>
          <w:szCs w:val="22"/>
        </w:rPr>
        <w:t xml:space="preserve"> guidelines for a synergistic strategy for both environmental protection and meeting human </w:t>
      </w:r>
      <w:r w:rsidR="002E0B6E">
        <w:rPr>
          <w:sz w:val="22"/>
          <w:szCs w:val="22"/>
        </w:rPr>
        <w:t xml:space="preserve">rights and needs of mobile peoples </w:t>
      </w:r>
      <w:r w:rsidRPr="002F5D38">
        <w:rPr>
          <w:sz w:val="22"/>
          <w:szCs w:val="22"/>
        </w:rPr>
        <w:t xml:space="preserve">(see annex). </w:t>
      </w:r>
    </w:p>
    <w:p w14:paraId="50618A34" w14:textId="556E3AAF" w:rsidR="006B2D50" w:rsidRPr="002F5D38" w:rsidRDefault="10E53A0F" w:rsidP="000C231C">
      <w:pPr>
        <w:ind w:firstLine="720"/>
        <w:rPr>
          <w:sz w:val="22"/>
          <w:szCs w:val="22"/>
        </w:rPr>
      </w:pPr>
      <w:r w:rsidRPr="002F5D38">
        <w:rPr>
          <w:sz w:val="22"/>
          <w:szCs w:val="22"/>
        </w:rPr>
        <w:t xml:space="preserve">In 2012 a Dana+10 Workshop was held in </w:t>
      </w:r>
      <w:proofErr w:type="spellStart"/>
      <w:r w:rsidRPr="002F5D38">
        <w:rPr>
          <w:sz w:val="22"/>
          <w:szCs w:val="22"/>
        </w:rPr>
        <w:t>Wadi</w:t>
      </w:r>
      <w:proofErr w:type="spellEnd"/>
      <w:r w:rsidRPr="002F5D38">
        <w:rPr>
          <w:sz w:val="22"/>
          <w:szCs w:val="22"/>
        </w:rPr>
        <w:t xml:space="preserve"> Dana, Jordan which followed up on the previous 10 years' work to embed the Dana Declaration into soft international law. The Dana+10 workshop </w:t>
      </w:r>
      <w:r w:rsidR="002E0B6E">
        <w:rPr>
          <w:sz w:val="22"/>
          <w:szCs w:val="22"/>
        </w:rPr>
        <w:t xml:space="preserve">was attended </w:t>
      </w:r>
      <w:r w:rsidR="000E1A4A">
        <w:rPr>
          <w:sz w:val="22"/>
          <w:szCs w:val="22"/>
        </w:rPr>
        <w:t>b</w:t>
      </w:r>
      <w:r w:rsidR="002E0B6E">
        <w:rPr>
          <w:sz w:val="22"/>
          <w:szCs w:val="22"/>
        </w:rPr>
        <w:t xml:space="preserve">y representatives of mobile peoples </w:t>
      </w:r>
      <w:r w:rsidR="000E1A4A">
        <w:rPr>
          <w:sz w:val="22"/>
          <w:szCs w:val="22"/>
        </w:rPr>
        <w:t xml:space="preserve">as </w:t>
      </w:r>
      <w:r w:rsidR="002E0B6E">
        <w:rPr>
          <w:sz w:val="22"/>
          <w:szCs w:val="22"/>
        </w:rPr>
        <w:t>well as academics and practitioners. C</w:t>
      </w:r>
      <w:r w:rsidRPr="002F5D38">
        <w:rPr>
          <w:sz w:val="22"/>
          <w:szCs w:val="22"/>
        </w:rPr>
        <w:t>apacity building among mobile indigenous peoples</w:t>
      </w:r>
      <w:r w:rsidR="000E1A4A">
        <w:rPr>
          <w:sz w:val="22"/>
          <w:szCs w:val="22"/>
        </w:rPr>
        <w:t>,</w:t>
      </w:r>
      <w:r w:rsidR="002E0B6E">
        <w:rPr>
          <w:sz w:val="22"/>
          <w:szCs w:val="22"/>
        </w:rPr>
        <w:t xml:space="preserve"> </w:t>
      </w:r>
      <w:r w:rsidR="002E0B6E" w:rsidRPr="000E1A4A">
        <w:rPr>
          <w:b/>
          <w:bCs/>
          <w:sz w:val="22"/>
          <w:szCs w:val="22"/>
        </w:rPr>
        <w:t>as rights ho</w:t>
      </w:r>
      <w:r w:rsidR="00E12A21" w:rsidRPr="000E1A4A">
        <w:rPr>
          <w:b/>
          <w:bCs/>
          <w:sz w:val="22"/>
          <w:szCs w:val="22"/>
        </w:rPr>
        <w:t>l</w:t>
      </w:r>
      <w:r w:rsidR="002E0B6E" w:rsidRPr="000E1A4A">
        <w:rPr>
          <w:b/>
          <w:bCs/>
          <w:sz w:val="22"/>
          <w:szCs w:val="22"/>
        </w:rPr>
        <w:t>ders</w:t>
      </w:r>
      <w:r w:rsidR="000E1A4A">
        <w:rPr>
          <w:sz w:val="22"/>
          <w:szCs w:val="22"/>
        </w:rPr>
        <w:t>,</w:t>
      </w:r>
      <w:r w:rsidR="00E12A21">
        <w:rPr>
          <w:sz w:val="22"/>
          <w:szCs w:val="22"/>
        </w:rPr>
        <w:t xml:space="preserve"> was at the core of the workshop’s aims. </w:t>
      </w:r>
      <w:r w:rsidRPr="002F5D38">
        <w:rPr>
          <w:sz w:val="22"/>
          <w:szCs w:val="22"/>
        </w:rPr>
        <w:t xml:space="preserve">One outcome of the workshop was a statement delivered </w:t>
      </w:r>
      <w:r w:rsidR="00E12A21">
        <w:rPr>
          <w:sz w:val="22"/>
          <w:szCs w:val="22"/>
        </w:rPr>
        <w:t>by the mobile peoples</w:t>
      </w:r>
      <w:r w:rsidR="00D52920">
        <w:rPr>
          <w:sz w:val="22"/>
          <w:szCs w:val="22"/>
        </w:rPr>
        <w:t>’</w:t>
      </w:r>
      <w:r w:rsidR="00E12A21">
        <w:rPr>
          <w:sz w:val="22"/>
          <w:szCs w:val="22"/>
        </w:rPr>
        <w:t xml:space="preserve"> elected representative to</w:t>
      </w:r>
      <w:r w:rsidRPr="002F5D38">
        <w:rPr>
          <w:sz w:val="22"/>
          <w:szCs w:val="22"/>
        </w:rPr>
        <w:t xml:space="preserve"> the Earth Summit (Rio+20) meetings in June 2012</w:t>
      </w:r>
      <w:r w:rsidR="00E12A21">
        <w:rPr>
          <w:sz w:val="22"/>
          <w:szCs w:val="22"/>
        </w:rPr>
        <w:t xml:space="preserve">. This statement </w:t>
      </w:r>
      <w:r w:rsidRPr="002F5D38">
        <w:rPr>
          <w:sz w:val="22"/>
          <w:szCs w:val="22"/>
        </w:rPr>
        <w:t xml:space="preserve">called </w:t>
      </w:r>
      <w:r w:rsidR="00137783">
        <w:rPr>
          <w:sz w:val="22"/>
          <w:szCs w:val="22"/>
        </w:rPr>
        <w:t>for</w:t>
      </w:r>
      <w:r w:rsidR="00E12A21">
        <w:rPr>
          <w:sz w:val="22"/>
          <w:szCs w:val="22"/>
        </w:rPr>
        <w:t xml:space="preserve"> </w:t>
      </w:r>
      <w:r w:rsidRPr="002F5D38">
        <w:rPr>
          <w:sz w:val="22"/>
          <w:szCs w:val="22"/>
        </w:rPr>
        <w:t>the human rights of mobile indigenous people</w:t>
      </w:r>
      <w:r w:rsidR="00D52920">
        <w:rPr>
          <w:sz w:val="22"/>
          <w:szCs w:val="22"/>
        </w:rPr>
        <w:t>s</w:t>
      </w:r>
      <w:r w:rsidRPr="002F5D38">
        <w:rPr>
          <w:sz w:val="22"/>
          <w:szCs w:val="22"/>
        </w:rPr>
        <w:t xml:space="preserve"> in the face of continuing expulsions from </w:t>
      </w:r>
      <w:r w:rsidR="00137783">
        <w:rPr>
          <w:sz w:val="22"/>
          <w:szCs w:val="22"/>
        </w:rPr>
        <w:t xml:space="preserve">nature reserves and extractive industry </w:t>
      </w:r>
      <w:r w:rsidRPr="002F5D38">
        <w:rPr>
          <w:sz w:val="22"/>
          <w:szCs w:val="22"/>
        </w:rPr>
        <w:t>land grabbing, and other forms of territorial and resource dispossession</w:t>
      </w:r>
      <w:r w:rsidR="00E12A21">
        <w:rPr>
          <w:sz w:val="22"/>
          <w:szCs w:val="22"/>
        </w:rPr>
        <w:t xml:space="preserve"> to be addressed</w:t>
      </w:r>
      <w:r w:rsidR="00FB6015">
        <w:rPr>
          <w:sz w:val="22"/>
          <w:szCs w:val="22"/>
        </w:rPr>
        <w:t xml:space="preserve">. </w:t>
      </w:r>
      <w:r w:rsidRPr="002F5D38">
        <w:rPr>
          <w:sz w:val="22"/>
          <w:szCs w:val="22"/>
        </w:rPr>
        <w:t xml:space="preserve">The workshop </w:t>
      </w:r>
      <w:r w:rsidR="00D52920">
        <w:rPr>
          <w:sz w:val="22"/>
          <w:szCs w:val="22"/>
        </w:rPr>
        <w:t xml:space="preserve">was designed </w:t>
      </w:r>
      <w:r w:rsidRPr="002F5D38">
        <w:rPr>
          <w:sz w:val="22"/>
          <w:szCs w:val="22"/>
        </w:rPr>
        <w:t xml:space="preserve">to </w:t>
      </w:r>
      <w:r w:rsidR="00D52920">
        <w:rPr>
          <w:sz w:val="22"/>
          <w:szCs w:val="22"/>
        </w:rPr>
        <w:t xml:space="preserve">further </w:t>
      </w:r>
      <w:r w:rsidRPr="002F5D38">
        <w:rPr>
          <w:sz w:val="22"/>
          <w:szCs w:val="22"/>
        </w:rPr>
        <w:t>raise and maintain awareness of the special vulnerabilities of mobile indigenous peoples</w:t>
      </w:r>
      <w:r w:rsidR="00E12A21">
        <w:rPr>
          <w:sz w:val="22"/>
          <w:szCs w:val="22"/>
        </w:rPr>
        <w:t xml:space="preserve"> </w:t>
      </w:r>
      <w:r w:rsidR="00D52920">
        <w:rPr>
          <w:sz w:val="22"/>
          <w:szCs w:val="22"/>
        </w:rPr>
        <w:t>through</w:t>
      </w:r>
      <w:r w:rsidR="00E12A21">
        <w:rPr>
          <w:sz w:val="22"/>
          <w:szCs w:val="22"/>
        </w:rPr>
        <w:t xml:space="preserve"> partnership with the World Alliance of </w:t>
      </w:r>
      <w:r w:rsidR="004D0A4B">
        <w:rPr>
          <w:sz w:val="22"/>
          <w:szCs w:val="22"/>
        </w:rPr>
        <w:t xml:space="preserve">Mobile </w:t>
      </w:r>
      <w:r w:rsidR="0021788F">
        <w:rPr>
          <w:sz w:val="22"/>
          <w:szCs w:val="22"/>
        </w:rPr>
        <w:t>Indigenous</w:t>
      </w:r>
      <w:r w:rsidR="004D0A4B">
        <w:rPr>
          <w:sz w:val="22"/>
          <w:szCs w:val="22"/>
        </w:rPr>
        <w:t xml:space="preserve"> Peoples (WAMIP).</w:t>
      </w:r>
      <w:r w:rsidRPr="002F5D38">
        <w:rPr>
          <w:sz w:val="22"/>
          <w:szCs w:val="22"/>
        </w:rPr>
        <w:t xml:space="preserve">  </w:t>
      </w:r>
    </w:p>
    <w:p w14:paraId="48FFC60E" w14:textId="7C2BF964" w:rsidR="006B2D50" w:rsidRPr="002F5D38" w:rsidRDefault="10E53A0F" w:rsidP="10E53A0F">
      <w:pPr>
        <w:shd w:val="clear" w:color="auto" w:fill="FFFFFF" w:themeFill="background1"/>
        <w:ind w:firstLine="720"/>
        <w:contextualSpacing/>
        <w:rPr>
          <w:rFonts w:cs="Calibri"/>
          <w:color w:val="101010"/>
          <w:sz w:val="22"/>
          <w:szCs w:val="22"/>
          <w:lang w:eastAsia="en-GB"/>
        </w:rPr>
      </w:pPr>
      <w:r w:rsidRPr="002F5D38">
        <w:rPr>
          <w:rFonts w:cs="Calibri"/>
          <w:color w:val="101010"/>
          <w:sz w:val="22"/>
          <w:szCs w:val="22"/>
          <w:lang w:eastAsia="en-GB"/>
        </w:rPr>
        <w:t xml:space="preserve">As we approach the 20-year anniversary of the Dana Declaration, there is need to take stock of ecological, technical, and political developments over the past two decades and to bring the implications for mobile peoples to the attention of global forums. Furthermore, it is critical that a younger generation of indigenous peoples’ advocates become informed about the key issues which continue to plague mobile peoples. As such, we propose a Dana+20 workshop to </w:t>
      </w:r>
      <w:r w:rsidR="004D0A4B" w:rsidRPr="004F291F">
        <w:rPr>
          <w:rFonts w:cs="Calibri"/>
          <w:b/>
          <w:bCs/>
          <w:color w:val="101010"/>
          <w:sz w:val="22"/>
          <w:szCs w:val="22"/>
          <w:lang w:eastAsia="en-GB"/>
        </w:rPr>
        <w:t xml:space="preserve">reaffirm, redirect, and </w:t>
      </w:r>
      <w:r w:rsidR="004F291F" w:rsidRPr="004F291F">
        <w:rPr>
          <w:rFonts w:cs="Calibri"/>
          <w:b/>
          <w:bCs/>
          <w:color w:val="101010"/>
          <w:sz w:val="22"/>
          <w:szCs w:val="22"/>
          <w:lang w:eastAsia="en-GB"/>
        </w:rPr>
        <w:t>re-</w:t>
      </w:r>
      <w:r w:rsidRPr="004F291F">
        <w:rPr>
          <w:rFonts w:cs="Calibri"/>
          <w:b/>
          <w:bCs/>
          <w:color w:val="101010"/>
          <w:sz w:val="22"/>
          <w:szCs w:val="22"/>
          <w:lang w:eastAsia="en-GB"/>
        </w:rPr>
        <w:t>examine</w:t>
      </w:r>
      <w:r w:rsidRPr="002F5D38">
        <w:rPr>
          <w:rFonts w:cs="Calibri"/>
          <w:color w:val="101010"/>
          <w:sz w:val="22"/>
          <w:szCs w:val="22"/>
          <w:lang w:eastAsia="en-GB"/>
        </w:rPr>
        <w:t xml:space="preserve"> some of the stubborn </w:t>
      </w:r>
      <w:r w:rsidRPr="003F739F">
        <w:rPr>
          <w:rFonts w:cs="Calibri"/>
          <w:color w:val="101010"/>
          <w:sz w:val="22"/>
          <w:szCs w:val="22"/>
          <w:lang w:eastAsia="en-GB"/>
        </w:rPr>
        <w:t>bia</w:t>
      </w:r>
      <w:r w:rsidRPr="004D0A4B">
        <w:rPr>
          <w:rFonts w:cs="Calibri"/>
          <w:b/>
          <w:bCs/>
          <w:color w:val="101010"/>
          <w:sz w:val="22"/>
          <w:szCs w:val="22"/>
          <w:lang w:eastAsia="en-GB"/>
        </w:rPr>
        <w:t>ses</w:t>
      </w:r>
      <w:r w:rsidRPr="002F5D38">
        <w:rPr>
          <w:rFonts w:cs="Calibri"/>
          <w:color w:val="101010"/>
          <w:sz w:val="22"/>
          <w:szCs w:val="22"/>
          <w:lang w:eastAsia="en-GB"/>
        </w:rPr>
        <w:t xml:space="preserve"> that continue to influence mainstream sustainability, climate change, and development paradigms</w:t>
      </w:r>
      <w:r w:rsidR="004D0A4B">
        <w:rPr>
          <w:rFonts w:cs="Calibri"/>
          <w:color w:val="101010"/>
          <w:sz w:val="22"/>
          <w:szCs w:val="22"/>
          <w:lang w:eastAsia="en-GB"/>
        </w:rPr>
        <w:t>. Working with mobile peoples as rights holder, the workshop</w:t>
      </w:r>
      <w:r w:rsidR="00D52920">
        <w:rPr>
          <w:rFonts w:cs="Calibri"/>
          <w:color w:val="101010"/>
          <w:sz w:val="22"/>
          <w:szCs w:val="22"/>
          <w:lang w:eastAsia="en-GB"/>
        </w:rPr>
        <w:t>’s</w:t>
      </w:r>
      <w:r w:rsidR="004D0A4B">
        <w:rPr>
          <w:rFonts w:cs="Calibri"/>
          <w:color w:val="101010"/>
          <w:sz w:val="22"/>
          <w:szCs w:val="22"/>
          <w:lang w:eastAsia="en-GB"/>
        </w:rPr>
        <w:t xml:space="preserve"> </w:t>
      </w:r>
      <w:r w:rsidR="0021788F">
        <w:rPr>
          <w:rFonts w:cs="Calibri"/>
          <w:color w:val="101010"/>
          <w:sz w:val="22"/>
          <w:szCs w:val="22"/>
          <w:lang w:eastAsia="en-GB"/>
        </w:rPr>
        <w:t>final</w:t>
      </w:r>
      <w:r w:rsidR="004D0A4B">
        <w:rPr>
          <w:rFonts w:cs="Calibri"/>
          <w:color w:val="101010"/>
          <w:sz w:val="22"/>
          <w:szCs w:val="22"/>
          <w:lang w:eastAsia="en-GB"/>
        </w:rPr>
        <w:t xml:space="preserve"> agenda will be drafted flexibly to address their priorities and concerns. </w:t>
      </w:r>
      <w:r w:rsidRPr="002F5D38">
        <w:rPr>
          <w:rFonts w:cs="Calibri"/>
          <w:color w:val="101010"/>
          <w:sz w:val="22"/>
          <w:szCs w:val="22"/>
          <w:lang w:eastAsia="en-GB"/>
        </w:rPr>
        <w:t>The Dana+20 workshop aspires to outline ways forward</w:t>
      </w:r>
      <w:r w:rsidR="004D0A4B">
        <w:rPr>
          <w:rFonts w:cs="Calibri"/>
          <w:color w:val="101010"/>
          <w:sz w:val="22"/>
          <w:szCs w:val="22"/>
          <w:lang w:eastAsia="en-GB"/>
        </w:rPr>
        <w:t xml:space="preserve"> in consultation with mobile </w:t>
      </w:r>
      <w:r w:rsidR="0021788F">
        <w:rPr>
          <w:rFonts w:cs="Calibri"/>
          <w:color w:val="101010"/>
          <w:sz w:val="22"/>
          <w:szCs w:val="22"/>
          <w:lang w:eastAsia="en-GB"/>
        </w:rPr>
        <w:t>peoples’</w:t>
      </w:r>
      <w:r w:rsidR="004D0A4B">
        <w:rPr>
          <w:rFonts w:cs="Calibri"/>
          <w:color w:val="101010"/>
          <w:sz w:val="22"/>
          <w:szCs w:val="22"/>
          <w:lang w:eastAsia="en-GB"/>
        </w:rPr>
        <w:t xml:space="preserve"> </w:t>
      </w:r>
      <w:r w:rsidR="0021788F">
        <w:rPr>
          <w:rFonts w:cs="Calibri"/>
          <w:color w:val="101010"/>
          <w:sz w:val="22"/>
          <w:szCs w:val="22"/>
          <w:lang w:eastAsia="en-GB"/>
        </w:rPr>
        <w:t>representatives</w:t>
      </w:r>
      <w:r w:rsidR="004D0A4B">
        <w:rPr>
          <w:rFonts w:cs="Calibri"/>
          <w:color w:val="101010"/>
          <w:sz w:val="22"/>
          <w:szCs w:val="22"/>
          <w:lang w:eastAsia="en-GB"/>
        </w:rPr>
        <w:t xml:space="preserve"> </w:t>
      </w:r>
      <w:r w:rsidRPr="002F5D38">
        <w:rPr>
          <w:rFonts w:cs="Calibri"/>
          <w:color w:val="101010"/>
          <w:sz w:val="22"/>
          <w:szCs w:val="22"/>
          <w:lang w:eastAsia="en-GB"/>
        </w:rPr>
        <w:t>to improve engagement on the interrelated priorities of conservation, climate adaptation/resilience, habitat loss, and sustainable development.</w:t>
      </w:r>
    </w:p>
    <w:p w14:paraId="175DE6C6" w14:textId="77777777" w:rsidR="00C22D90" w:rsidRPr="002F5D38" w:rsidRDefault="00DB6944">
      <w:pPr>
        <w:rPr>
          <w:bCs/>
          <w:sz w:val="22"/>
          <w:szCs w:val="22"/>
        </w:rPr>
      </w:pPr>
      <w:r w:rsidRPr="002F5D38">
        <w:rPr>
          <w:bCs/>
          <w:sz w:val="22"/>
          <w:szCs w:val="22"/>
        </w:rPr>
        <w:lastRenderedPageBreak/>
        <w:t xml:space="preserve">  </w:t>
      </w:r>
    </w:p>
    <w:p w14:paraId="4A99E9F8" w14:textId="77777777" w:rsidR="009F1D48" w:rsidRDefault="009F1D48" w:rsidP="000823CF">
      <w:pPr>
        <w:outlineLvl w:val="0"/>
        <w:rPr>
          <w:b/>
        </w:rPr>
      </w:pPr>
      <w:r>
        <w:rPr>
          <w:b/>
        </w:rPr>
        <w:t>Context</w:t>
      </w:r>
    </w:p>
    <w:p w14:paraId="0DB19F1F" w14:textId="77777777" w:rsidR="009F1D48" w:rsidRDefault="009F1D48"/>
    <w:p w14:paraId="72321B6F" w14:textId="5DE367E1" w:rsidR="00171C5F" w:rsidRDefault="10E53A0F">
      <w:r>
        <w:t>The first decade of the 21st century has seen a major biodiversity conservation goal achieved: the setting aside of large areas of the earth’s surface to protect its biodiversity. The Convention on Biological Diversity has succeeded in its target of expanding protected areas to 17% of the earth’s surface (UNEP-WCMC, 2009). Many of these areas, are also inhabited by indigenous and traditional peoples.</w:t>
      </w:r>
    </w:p>
    <w:p w14:paraId="279035DB" w14:textId="171BE8D7" w:rsidR="009F1D48" w:rsidRDefault="10E53A0F" w:rsidP="0063424B">
      <w:pPr>
        <w:ind w:firstLine="720"/>
      </w:pPr>
      <w:r>
        <w:t xml:space="preserve">In the drive to establish reserves and parklands for the protection of habitat and to prevent species loss, traditional and indigenous peoples throughout the world have suffered limitations on resource use, land expropriation, even expulsion at the hands of national and international agencies, as well as human rights violations. While conservation agencies have publicly denounced such practices - see for example the Durban Accord and Action Plan adopted at the World Parks Congress in 2003 - progress in land restitution and protection of indigenous rights has been either sluggish or non-existent, particularly where the peoples concerned are mobile, dispersed, and not physically present at all times of the year. </w:t>
      </w:r>
    </w:p>
    <w:p w14:paraId="548F754E" w14:textId="5609D76E" w:rsidR="009F1D48" w:rsidRDefault="10E53A0F" w:rsidP="0063424B">
      <w:pPr>
        <w:ind w:firstLine="720"/>
      </w:pPr>
      <w:r>
        <w:t xml:space="preserve">In light of an improved understanding of the causes of environmental damage, the conservation movement has re-examined their approaches to biodiversity protection, especially the assumptions underlying the exclusion of indigenous peoples from protected areas (Chatty and Colchester, 2002; West, et al, 2006; </w:t>
      </w:r>
      <w:proofErr w:type="spellStart"/>
      <w:r>
        <w:t>Brockington</w:t>
      </w:r>
      <w:proofErr w:type="spellEnd"/>
      <w:r>
        <w:t xml:space="preserve"> et al, 2008</w:t>
      </w:r>
      <w:r w:rsidR="00874A30">
        <w:t>; Gilbert</w:t>
      </w:r>
      <w:r w:rsidR="00A044F5">
        <w:t xml:space="preserve"> </w:t>
      </w:r>
      <w:r w:rsidR="00874A30">
        <w:t>2018</w:t>
      </w:r>
      <w:r>
        <w:t xml:space="preserve">). </w:t>
      </w:r>
      <w:proofErr w:type="gramStart"/>
      <w:r>
        <w:t>The beginning of the 21st century has been marked by a new understanding of indigenous peoples’ positive contributions to their local ecosystems and conservation</w:t>
      </w:r>
      <w:proofErr w:type="gramEnd"/>
      <w:r>
        <w:t xml:space="preserve"> (Rio Declaration, Article 22; Convention on Biological Diversity, Articles 8j and 10c; Resolutions on Indigenous peoples, IUCN General Assembly 1996; Beltran, IUCN and WWF, 2000; and the Durban Accord and Durban Action Plan: IUCN, 2004). This nuanced recognition of the special knowledge, roles and rights of such peoples has resulted in increasing efforts to integrate indigenous, traditional, and local communities into the planning and management of conservation areas or, at the very least, ameliorating the negative impact that such schemes have on the sustainability of their livelihoods (</w:t>
      </w:r>
      <w:proofErr w:type="spellStart"/>
      <w:r w:rsidR="00A044F5" w:rsidRPr="001B5931">
        <w:rPr>
          <w:bCs/>
          <w:sz w:val="22"/>
          <w:szCs w:val="22"/>
        </w:rPr>
        <w:t>Borrini-Feyerabend</w:t>
      </w:r>
      <w:proofErr w:type="spellEnd"/>
      <w:r w:rsidR="00A044F5" w:rsidRPr="001B5931">
        <w:rPr>
          <w:bCs/>
          <w:sz w:val="22"/>
          <w:szCs w:val="22"/>
        </w:rPr>
        <w:t xml:space="preserve"> </w:t>
      </w:r>
      <w:r w:rsidR="00A044F5">
        <w:rPr>
          <w:bCs/>
          <w:sz w:val="22"/>
          <w:szCs w:val="22"/>
        </w:rPr>
        <w:t xml:space="preserve">et al., 2007; </w:t>
      </w:r>
      <w:proofErr w:type="spellStart"/>
      <w:r>
        <w:t>Renard</w:t>
      </w:r>
      <w:proofErr w:type="spellEnd"/>
      <w:r>
        <w:t xml:space="preserve"> et al., 2007</w:t>
      </w:r>
      <w:r w:rsidR="00874A30">
        <w:t>; Colchester, 2020</w:t>
      </w:r>
      <w:r>
        <w:t xml:space="preserve">). When indigenous peoples are sedentary and relatively organized due, in part, to the density of their habitation patterns, developing and building capacity to take part in conservation-based negotiations are normally straight-forward. However, when indigenous peoples are mobile, then standard </w:t>
      </w:r>
      <w:proofErr w:type="spellStart"/>
      <w:r>
        <w:t>sedentist</w:t>
      </w:r>
      <w:proofErr w:type="spellEnd"/>
      <w:r>
        <w:t xml:space="preserve"> efforts to reach them often fail.</w:t>
      </w:r>
    </w:p>
    <w:p w14:paraId="2F60FBD3" w14:textId="53E0476E" w:rsidR="009F1D48" w:rsidRDefault="009F1D48" w:rsidP="0063424B">
      <w:pPr>
        <w:ind w:firstLine="720"/>
      </w:pPr>
      <w:r>
        <w:t xml:space="preserve">Mobile peoples are a subset of traditional and indigenous peoples whose livelihoods depend upon </w:t>
      </w:r>
      <w:r w:rsidR="0066629C">
        <w:t xml:space="preserve">mobility and </w:t>
      </w:r>
      <w:r>
        <w:t>extensive common property use</w:t>
      </w:r>
      <w:r>
        <w:rPr>
          <w:rStyle w:val="FootnoteReference"/>
        </w:rPr>
        <w:footnoteReference w:id="1"/>
      </w:r>
      <w:r>
        <w:t xml:space="preserve"> of natural resources; mobility is both a management strategy for sustainable</w:t>
      </w:r>
      <w:r w:rsidR="002F7568">
        <w:t xml:space="preserve"> livelihoods and </w:t>
      </w:r>
      <w:r>
        <w:t xml:space="preserve">land and a distinctive source of cultural identity. In some parts of the world, such as Latin America, mobile indigenous peoples do have an organized presence within the Indigenous Peoples Movement. In many other parts of the world, however, such as Africa, the Middle East, Central and South Asia, Australia, and the Pacific, they remain largely excluded and peripheral to the main </w:t>
      </w:r>
      <w:r w:rsidR="00EE2F24">
        <w:t xml:space="preserve">dialogues on </w:t>
      </w:r>
      <w:r>
        <w:t xml:space="preserve">Indigenous Peoples </w:t>
      </w:r>
      <w:r w:rsidR="000823CF">
        <w:t>–</w:t>
      </w:r>
      <w:r>
        <w:t xml:space="preserve"> Biodiversity Conservation </w:t>
      </w:r>
      <w:r w:rsidR="002F7568">
        <w:t>– Sustainable Development</w:t>
      </w:r>
      <w:r>
        <w:t xml:space="preserve">. </w:t>
      </w:r>
    </w:p>
    <w:p w14:paraId="23609768" w14:textId="48BA25B0" w:rsidR="009F1D48" w:rsidRDefault="10E53A0F" w:rsidP="0063424B">
      <w:pPr>
        <w:ind w:firstLine="720"/>
      </w:pPr>
      <w:r>
        <w:t>Mobile peoples</w:t>
      </w:r>
      <w:r w:rsidR="000823CF">
        <w:t xml:space="preserve"> – </w:t>
      </w:r>
      <w:r>
        <w:t xml:space="preserve">be they pastoralists, hunters and gatherers, far-ranging </w:t>
      </w:r>
      <w:proofErr w:type="spellStart"/>
      <w:r>
        <w:t>swidden</w:t>
      </w:r>
      <w:proofErr w:type="spellEnd"/>
      <w:r>
        <w:t xml:space="preserve"> agriculturalists or other similarly land-based groups </w:t>
      </w:r>
      <w:r w:rsidR="000823CF">
        <w:t>–</w:t>
      </w:r>
      <w:r>
        <w:t xml:space="preserve"> are marginalized due to the </w:t>
      </w:r>
      <w:r>
        <w:lastRenderedPageBreak/>
        <w:t xml:space="preserve">mobility that they exercise as a fundamental aspect of their livelihoods. The requirement to be widely dispersed and spread out over extensive territory makes them largely invisible in their natural habitats but also marginalizes them, in particular when they are forced to settle on the edges of their former territories, be it desert, savannah or forest. The removal of mobile indigenous peoples from their traditional lands often goes unrecognized because there is no organized protest, outcry or interest group advocating their right to remain mobile both within the borders of their traditional lands and beyond. This is the case even when their land management practices are such that the lands that they occupy are considered to be of high biodiversity value and meriting conservation. Furthermore, the special knowledge that mobile indigenous peoples have about their environment and the special role that their mobility plays in the conservation and sustainable use of biological resources often go unstudied and unrecorded. </w:t>
      </w:r>
    </w:p>
    <w:p w14:paraId="6D734068" w14:textId="58AB04B8" w:rsidR="004F291F" w:rsidRDefault="004F291F" w:rsidP="0063424B">
      <w:pPr>
        <w:ind w:firstLine="720"/>
      </w:pPr>
    </w:p>
    <w:p w14:paraId="33E0EA0D" w14:textId="1DC3CC9E" w:rsidR="004F291F" w:rsidRPr="004F291F" w:rsidRDefault="004F291F" w:rsidP="000823CF">
      <w:pPr>
        <w:outlineLvl w:val="0"/>
        <w:rPr>
          <w:b/>
          <w:bCs/>
        </w:rPr>
      </w:pPr>
      <w:r w:rsidRPr="004F291F">
        <w:rPr>
          <w:b/>
          <w:bCs/>
        </w:rPr>
        <w:t xml:space="preserve">Dana Declaration enters soft international law </w:t>
      </w:r>
    </w:p>
    <w:p w14:paraId="7B8D9107" w14:textId="77777777" w:rsidR="004F291F" w:rsidRDefault="004F291F" w:rsidP="004F291F"/>
    <w:p w14:paraId="6AA979ED" w14:textId="0CBD6650" w:rsidR="00711DA4" w:rsidRPr="002F7568" w:rsidRDefault="10E53A0F" w:rsidP="004F291F">
      <w:r>
        <w:t xml:space="preserve">Over the past twenty years the Dana Declaration Standing Committee has organized initiatives specifically designed to build capacity among mobile indigenous peoples to represent themselves and advocate their rightful place in the context of biodiversity conservation, </w:t>
      </w:r>
      <w:r w:rsidR="004F291F">
        <w:t xml:space="preserve">extractive industry activity, </w:t>
      </w:r>
      <w:r>
        <w:t xml:space="preserve">and sustainable development. One aim has been to promote wider recognition of mobile indigenous peoples’ specialist knowledge, customary systems of resource management based on mobility and their fundamental human rights. Another aim has been to slow down </w:t>
      </w:r>
      <w:r w:rsidR="000823CF">
        <w:t>–</w:t>
      </w:r>
      <w:r>
        <w:t xml:space="preserve"> and perhaps eventually stop </w:t>
      </w:r>
      <w:r w:rsidR="000823CF">
        <w:t>–</w:t>
      </w:r>
      <w:r>
        <w:t xml:space="preserve"> the displacement, dislocation, and </w:t>
      </w:r>
      <w:r w:rsidR="00EE2F24" w:rsidRPr="003F739F">
        <w:rPr>
          <w:b/>
          <w:bCs/>
        </w:rPr>
        <w:t>forced</w:t>
      </w:r>
      <w:r w:rsidR="00EE2F24">
        <w:t xml:space="preserve"> </w:t>
      </w:r>
      <w:proofErr w:type="spellStart"/>
      <w:r>
        <w:t>sedentarisation</w:t>
      </w:r>
      <w:proofErr w:type="spellEnd"/>
      <w:r>
        <w:t xml:space="preserve"> of mobile indigenous peoples; and to move toward restoration of the communal land rights </w:t>
      </w:r>
      <w:r w:rsidR="00EE2F24">
        <w:t xml:space="preserve">and territoriality </w:t>
      </w:r>
      <w:r>
        <w:t xml:space="preserve">upon which mobility depends. Taking a global perspective, these initiatives combined a number of simultaneous strategies to develop and build capacity among mobile indigenous peoples as well as to raise awareness of their special needs within the general indigenous peoples’ movement. The Dana Declaration Dana and Dana+10 endeavoured to: promote research and dissemination of Mobile Peoples’ traditional knowledge and practices; build the capacity of mobile peoples’ customary institutions by facilitating their representation at international </w:t>
      </w:r>
      <w:proofErr w:type="spellStart"/>
      <w:r>
        <w:t>fora</w:t>
      </w:r>
      <w:proofErr w:type="spellEnd"/>
      <w:r>
        <w:t xml:space="preserve">; advocate for their inclusion in planning for biodiversity conservation and sustainable development; facilitate the inclusion of addendums to international guidelines relating to indigenous peoples (especially the World Congress of Protected Areas [WCPA], International Union for the Conservation of Nature [IUCN], International Labour Organisation [ILO], United Nations Development Programme[ UNDP], and World Wildlife Fund [WWF]); and develop networking capacity across </w:t>
      </w:r>
      <w:r w:rsidR="000823CF">
        <w:t>m</w:t>
      </w:r>
      <w:r>
        <w:t xml:space="preserve">obile </w:t>
      </w:r>
      <w:r w:rsidR="000823CF">
        <w:t>i</w:t>
      </w:r>
      <w:r>
        <w:t xml:space="preserve">ndigenous </w:t>
      </w:r>
      <w:r w:rsidR="000823CF">
        <w:t>p</w:t>
      </w:r>
      <w:r>
        <w:t>eoples groups</w:t>
      </w:r>
      <w:r w:rsidR="000823CF">
        <w:t>.</w:t>
      </w:r>
    </w:p>
    <w:p w14:paraId="7C4BE5BD" w14:textId="55FCA4BA" w:rsidR="001C7D40" w:rsidRDefault="10E53A0F" w:rsidP="0063424B">
      <w:pPr>
        <w:ind w:firstLine="720"/>
      </w:pPr>
      <w:r>
        <w:t>The Standing Committee for the Dana Declaration has succeeded in implementing all of the above. It has disseminated the Dana Declaration to key conservation actors through a dedicated website (</w:t>
      </w:r>
      <w:hyperlink r:id="rId17">
        <w:r w:rsidRPr="10E53A0F">
          <w:rPr>
            <w:rStyle w:val="Hyperlink"/>
          </w:rPr>
          <w:t>www.danadeclaration.org</w:t>
        </w:r>
      </w:hyperlink>
      <w:r>
        <w:t>) and arranged an effective presence at the World Parks Congress (WPC) in 2003 in Durban, South Africa, where the Declaration was endorsed in the WPC Workshop Recommendation 5.27. It supported the attendance of representatives of mobile indigenous peoples at the Congress and encouraged their participation in the Indigenous Peoples’ Caucus at the Peoples’ Park – a parallel event in Durban. It encouraged the formation of the World Alliance of Mobile Indigenous Peoples (WAMIP), which came together at the WPC in Durban in 2003, at the IUCN 3</w:t>
      </w:r>
      <w:r w:rsidRPr="10E53A0F">
        <w:rPr>
          <w:vertAlign w:val="superscript"/>
        </w:rPr>
        <w:t>rd</w:t>
      </w:r>
      <w:r>
        <w:t xml:space="preserve"> and 4</w:t>
      </w:r>
      <w:r w:rsidRPr="10E53A0F">
        <w:rPr>
          <w:vertAlign w:val="superscript"/>
        </w:rPr>
        <w:t>th</w:t>
      </w:r>
      <w:r>
        <w:t xml:space="preserve"> Congresses in Bangkok in 2003 and Barcelona in 2008 and at the Dana+10 workshop in 2012. At the 4</w:t>
      </w:r>
      <w:r w:rsidRPr="10E53A0F">
        <w:rPr>
          <w:vertAlign w:val="superscript"/>
        </w:rPr>
        <w:t>th</w:t>
      </w:r>
      <w:r>
        <w:t xml:space="preserve"> World Conservation Congress organized by the </w:t>
      </w:r>
      <w:r>
        <w:lastRenderedPageBreak/>
        <w:t xml:space="preserve">IUCN in Barcelona in 2008, the Dana Declaration was finally endorsed as part of the working principles for social development in the International Union for the Conservation of Nature (IUCN) (see </w:t>
      </w:r>
      <w:hyperlink r:id="rId18">
        <w:r w:rsidRPr="10E53A0F">
          <w:rPr>
            <w:rStyle w:val="Hyperlink"/>
          </w:rPr>
          <w:t>www.danadeclaration.org</w:t>
        </w:r>
      </w:hyperlink>
      <w:r>
        <w:t xml:space="preserve">). And it has supported the production of several issues of </w:t>
      </w:r>
      <w:r w:rsidRPr="10E53A0F">
        <w:rPr>
          <w:i/>
          <w:iCs/>
        </w:rPr>
        <w:t>Policy Matters</w:t>
      </w:r>
      <w:r>
        <w:t xml:space="preserve"> identifying good practice among mobile indigenous peoples and bringing these to the attention of biodiversity conservation organizations (</w:t>
      </w:r>
      <w:proofErr w:type="spellStart"/>
      <w:r>
        <w:t>Vol</w:t>
      </w:r>
      <w:r w:rsidR="0004457B">
        <w:t>s</w:t>
      </w:r>
      <w:proofErr w:type="spellEnd"/>
      <w:r>
        <w:t xml:space="preserve"> 13, 2004; 15, 2007</w:t>
      </w:r>
      <w:r w:rsidR="0004457B">
        <w:t>)</w:t>
      </w:r>
      <w:r w:rsidR="0021788F">
        <w:t xml:space="preserve"> .</w:t>
      </w:r>
    </w:p>
    <w:p w14:paraId="1646A423" w14:textId="6C385F80" w:rsidR="001C7D40" w:rsidRDefault="10E53A0F" w:rsidP="0063424B">
      <w:pPr>
        <w:ind w:firstLine="720"/>
      </w:pPr>
      <w:r>
        <w:t>The Standing Committee for the Dana Declaration also supported representatives of mobile indigenous peoples from Kenya, Ethiopia, Namibia, Tanzania, Mali, Morocco, Jordan, Syria, the United Arab Emirates, Socotra/Yemen, India, Mongolia, Peru and the United States to attend the Pre-World Conservation Congress Indigenous Peoples’ workshops in 2004 and 2008. It facilitated their attendance at the United Nations Permanent Forum on Indigenous Issues (UNPFII) in 2006 and 2008; it also conducted capacity</w:t>
      </w:r>
      <w:r w:rsidR="0004457B">
        <w:t>-</w:t>
      </w:r>
      <w:r>
        <w:t xml:space="preserve">building workshops and side events </w:t>
      </w:r>
      <w:r w:rsidR="0004457B">
        <w:t xml:space="preserve">at </w:t>
      </w:r>
      <w:r>
        <w:t>the UNPFII, where information regarding the Dana Declaration was disseminated through round table discussions on the particular impact of climate change and extreme weather on mobile indigenous people</w:t>
      </w:r>
      <w:r w:rsidR="00950AE6">
        <w:t>s</w:t>
      </w:r>
      <w:r>
        <w:t>’ livelihoods.</w:t>
      </w:r>
      <w:r w:rsidR="000823CF">
        <w:t xml:space="preserve"> </w:t>
      </w:r>
    </w:p>
    <w:p w14:paraId="155830F5" w14:textId="094AB674" w:rsidR="0080251E" w:rsidRDefault="0080251E" w:rsidP="0063424B">
      <w:pPr>
        <w:ind w:firstLine="720"/>
      </w:pPr>
    </w:p>
    <w:p w14:paraId="1AF38CE9" w14:textId="3FE474DE" w:rsidR="0080251E" w:rsidRPr="003F739F" w:rsidRDefault="0080251E" w:rsidP="000823CF">
      <w:pPr>
        <w:outlineLvl w:val="0"/>
        <w:rPr>
          <w:b/>
          <w:bCs/>
        </w:rPr>
      </w:pPr>
      <w:r w:rsidRPr="003F739F">
        <w:rPr>
          <w:b/>
          <w:bCs/>
        </w:rPr>
        <w:t>Funding proposal</w:t>
      </w:r>
    </w:p>
    <w:p w14:paraId="1A607F5D" w14:textId="112714B2" w:rsidR="002F7568" w:rsidRPr="006B2D50" w:rsidRDefault="10E53A0F" w:rsidP="0063424B">
      <w:pPr>
        <w:shd w:val="clear" w:color="auto" w:fill="FFFFFF" w:themeFill="background1"/>
        <w:ind w:firstLine="720"/>
        <w:contextualSpacing/>
        <w:rPr>
          <w:rFonts w:cs="Calibri"/>
          <w:color w:val="101010"/>
          <w:lang w:eastAsia="en-GB"/>
        </w:rPr>
      </w:pPr>
      <w:r>
        <w:t>The Dana Declaration Standing Committee propose</w:t>
      </w:r>
      <w:r w:rsidR="004F291F">
        <w:t>s</w:t>
      </w:r>
      <w:r>
        <w:t xml:space="preserve"> that the next logical next step would be the holding of a Dana Declaration + 20 workshop, in which representatives of mobile indigenous peoples meet and work alongside interested natural and social scientists from academia, the IUCN and other NGOs to set out a detailed programme of work to </w:t>
      </w:r>
      <w:r w:rsidRPr="10E53A0F">
        <w:rPr>
          <w:rFonts w:cs="Calibri"/>
          <w:color w:val="101010"/>
          <w:lang w:eastAsia="en-GB"/>
        </w:rPr>
        <w:t>mainstream</w:t>
      </w:r>
      <w:r w:rsidR="000823CF">
        <w:rPr>
          <w:rFonts w:cs="Calibri"/>
          <w:color w:val="101010"/>
          <w:lang w:eastAsia="en-GB"/>
        </w:rPr>
        <w:t xml:space="preserve"> </w:t>
      </w:r>
      <w:r w:rsidRPr="10E53A0F">
        <w:rPr>
          <w:rFonts w:cs="Calibri"/>
          <w:color w:val="101010"/>
          <w:lang w:eastAsia="en-GB"/>
        </w:rPr>
        <w:t>mobile peoples’ concerns with regard to sustainability, climate change discourse, and development paradigms, and to evaluate</w:t>
      </w:r>
      <w:r w:rsidR="000823CF">
        <w:rPr>
          <w:rFonts w:cs="Calibri"/>
          <w:color w:val="101010"/>
          <w:lang w:eastAsia="en-GB"/>
        </w:rPr>
        <w:t xml:space="preserve"> </w:t>
      </w:r>
      <w:r w:rsidRPr="10E53A0F">
        <w:rPr>
          <w:rFonts w:cs="Calibri"/>
          <w:color w:val="101010"/>
          <w:lang w:eastAsia="en-GB"/>
        </w:rPr>
        <w:t>the impact of</w:t>
      </w:r>
      <w:r w:rsidR="000823CF">
        <w:rPr>
          <w:rFonts w:cs="Calibri"/>
          <w:color w:val="101010"/>
          <w:lang w:eastAsia="en-GB"/>
        </w:rPr>
        <w:t xml:space="preserve"> </w:t>
      </w:r>
      <w:r w:rsidR="00126836" w:rsidRPr="003F739F">
        <w:rPr>
          <w:rFonts w:cs="Calibri"/>
          <w:color w:val="101010"/>
          <w:lang w:eastAsia="en-GB"/>
        </w:rPr>
        <w:t>implicit</w:t>
      </w:r>
      <w:r w:rsidR="000823CF">
        <w:rPr>
          <w:rFonts w:cs="Calibri"/>
          <w:color w:val="101010"/>
          <w:lang w:eastAsia="en-GB"/>
        </w:rPr>
        <w:t xml:space="preserve"> </w:t>
      </w:r>
      <w:r w:rsidRPr="003F739F">
        <w:rPr>
          <w:rFonts w:cs="Calibri"/>
          <w:color w:val="101010"/>
          <w:lang w:eastAsia="en-GB"/>
        </w:rPr>
        <w:t>biases</w:t>
      </w:r>
      <w:r w:rsidRPr="10E53A0F">
        <w:rPr>
          <w:rFonts w:cs="Calibri"/>
          <w:color w:val="101010"/>
          <w:lang w:eastAsia="en-GB"/>
        </w:rPr>
        <w:t xml:space="preserve"> in </w:t>
      </w:r>
      <w:r w:rsidR="00126836">
        <w:rPr>
          <w:rFonts w:cs="Calibri"/>
          <w:color w:val="101010"/>
          <w:lang w:eastAsia="en-GB"/>
        </w:rPr>
        <w:t xml:space="preserve">much </w:t>
      </w:r>
      <w:r w:rsidRPr="10E53A0F">
        <w:rPr>
          <w:rFonts w:cs="Calibri"/>
          <w:color w:val="101010"/>
          <w:lang w:eastAsia="en-GB"/>
        </w:rPr>
        <w:t xml:space="preserve">contemporary </w:t>
      </w:r>
      <w:r w:rsidR="00126836">
        <w:rPr>
          <w:rFonts w:cs="Calibri"/>
          <w:color w:val="101010"/>
          <w:lang w:eastAsia="en-GB"/>
        </w:rPr>
        <w:t xml:space="preserve">practice and </w:t>
      </w:r>
      <w:r w:rsidRPr="10E53A0F">
        <w:rPr>
          <w:rFonts w:cs="Calibri"/>
          <w:color w:val="101010"/>
          <w:lang w:eastAsia="en-GB"/>
        </w:rPr>
        <w:t>polic</w:t>
      </w:r>
      <w:r w:rsidR="00126836">
        <w:rPr>
          <w:rFonts w:cs="Calibri"/>
          <w:color w:val="101010"/>
          <w:lang w:eastAsia="en-GB"/>
        </w:rPr>
        <w:t>y</w:t>
      </w:r>
      <w:r w:rsidRPr="10E53A0F">
        <w:rPr>
          <w:rFonts w:cs="Calibri"/>
          <w:color w:val="101010"/>
          <w:lang w:eastAsia="en-GB"/>
        </w:rPr>
        <w:t xml:space="preserve">. </w:t>
      </w:r>
      <w:r w:rsidR="00172DDA">
        <w:rPr>
          <w:rFonts w:cs="Calibri"/>
          <w:color w:val="101010"/>
          <w:lang w:eastAsia="en-GB"/>
        </w:rPr>
        <w:t xml:space="preserve">Mobile </w:t>
      </w:r>
      <w:r w:rsidR="0021788F">
        <w:rPr>
          <w:rFonts w:cs="Calibri"/>
          <w:color w:val="101010"/>
          <w:lang w:eastAsia="en-GB"/>
        </w:rPr>
        <w:t>peoples’</w:t>
      </w:r>
      <w:r w:rsidR="00172DDA">
        <w:rPr>
          <w:rFonts w:cs="Calibri"/>
          <w:color w:val="101010"/>
          <w:lang w:eastAsia="en-GB"/>
        </w:rPr>
        <w:t xml:space="preserve"> delegates to the workshop would be selected in </w:t>
      </w:r>
      <w:proofErr w:type="spellStart"/>
      <w:r w:rsidR="00172DDA">
        <w:rPr>
          <w:rFonts w:cs="Calibri"/>
          <w:color w:val="101010"/>
          <w:lang w:eastAsia="en-GB"/>
        </w:rPr>
        <w:t>consulation</w:t>
      </w:r>
      <w:proofErr w:type="spellEnd"/>
      <w:r w:rsidR="00172DDA">
        <w:rPr>
          <w:rFonts w:cs="Calibri"/>
          <w:color w:val="101010"/>
          <w:lang w:eastAsia="en-GB"/>
        </w:rPr>
        <w:t xml:space="preserve"> with WAMIP, the League for Pastoral Peoples, The Tenure Facility, and other similar</w:t>
      </w:r>
      <w:r w:rsidR="000823CF">
        <w:rPr>
          <w:rFonts w:cs="Calibri"/>
          <w:color w:val="101010"/>
          <w:lang w:eastAsia="en-GB"/>
        </w:rPr>
        <w:t xml:space="preserve"> </w:t>
      </w:r>
      <w:r w:rsidR="004F291F">
        <w:rPr>
          <w:rFonts w:cs="Calibri"/>
          <w:color w:val="101010"/>
          <w:lang w:eastAsia="en-GB"/>
        </w:rPr>
        <w:t xml:space="preserve">indigenous </w:t>
      </w:r>
      <w:r w:rsidR="0021788F">
        <w:rPr>
          <w:rFonts w:cs="Calibri"/>
          <w:color w:val="101010"/>
          <w:lang w:eastAsia="en-GB"/>
        </w:rPr>
        <w:t>peoples’</w:t>
      </w:r>
      <w:r w:rsidR="004F291F">
        <w:rPr>
          <w:rFonts w:cs="Calibri"/>
          <w:color w:val="101010"/>
          <w:lang w:eastAsia="en-GB"/>
        </w:rPr>
        <w:t xml:space="preserve"> </w:t>
      </w:r>
      <w:r w:rsidR="00172DDA">
        <w:rPr>
          <w:rFonts w:cs="Calibri"/>
          <w:color w:val="101010"/>
          <w:lang w:eastAsia="en-GB"/>
        </w:rPr>
        <w:t xml:space="preserve">associations. </w:t>
      </w:r>
      <w:r w:rsidR="00126836">
        <w:rPr>
          <w:rFonts w:cs="Calibri"/>
          <w:color w:val="101010"/>
          <w:lang w:eastAsia="en-GB"/>
        </w:rPr>
        <w:t>The final agenda of the works</w:t>
      </w:r>
      <w:r w:rsidR="004F291F">
        <w:rPr>
          <w:rFonts w:cs="Calibri"/>
          <w:color w:val="101010"/>
          <w:lang w:eastAsia="en-GB"/>
        </w:rPr>
        <w:t>h</w:t>
      </w:r>
      <w:r w:rsidR="00126836">
        <w:rPr>
          <w:rFonts w:cs="Calibri"/>
          <w:color w:val="101010"/>
          <w:lang w:eastAsia="en-GB"/>
        </w:rPr>
        <w:t xml:space="preserve">op would be determined in consultation with </w:t>
      </w:r>
      <w:r w:rsidR="00172DDA">
        <w:rPr>
          <w:rFonts w:cs="Calibri"/>
          <w:color w:val="101010"/>
          <w:lang w:eastAsia="en-GB"/>
        </w:rPr>
        <w:t xml:space="preserve">the mobile </w:t>
      </w:r>
      <w:r w:rsidR="0021788F">
        <w:rPr>
          <w:rFonts w:cs="Calibri"/>
          <w:color w:val="101010"/>
          <w:lang w:eastAsia="en-GB"/>
        </w:rPr>
        <w:t>peoples’</w:t>
      </w:r>
      <w:r w:rsidR="00172DDA">
        <w:rPr>
          <w:rFonts w:cs="Calibri"/>
          <w:color w:val="101010"/>
          <w:lang w:eastAsia="en-GB"/>
        </w:rPr>
        <w:t xml:space="preserve"> delegates who have accepted the invitation</w:t>
      </w:r>
      <w:r w:rsidR="004F291F">
        <w:rPr>
          <w:rFonts w:cs="Calibri"/>
          <w:color w:val="101010"/>
          <w:lang w:eastAsia="en-GB"/>
        </w:rPr>
        <w:t xml:space="preserve"> </w:t>
      </w:r>
      <w:r w:rsidR="00172DDA">
        <w:rPr>
          <w:rFonts w:cs="Calibri"/>
          <w:color w:val="101010"/>
          <w:lang w:eastAsia="en-GB"/>
        </w:rPr>
        <w:t>to take part in the workshop.</w:t>
      </w:r>
      <w:r w:rsidR="000823CF">
        <w:rPr>
          <w:rFonts w:cs="Calibri"/>
          <w:color w:val="101010"/>
          <w:lang w:eastAsia="en-GB"/>
        </w:rPr>
        <w:t xml:space="preserve"> </w:t>
      </w:r>
      <w:r w:rsidRPr="10E53A0F">
        <w:rPr>
          <w:rFonts w:cs="Calibri"/>
          <w:color w:val="101010"/>
          <w:lang w:eastAsia="en-GB"/>
        </w:rPr>
        <w:t xml:space="preserve">The workshop aspires to </w:t>
      </w:r>
      <w:r w:rsidR="00126836">
        <w:rPr>
          <w:rFonts w:cs="Calibri"/>
          <w:color w:val="101010"/>
          <w:lang w:eastAsia="en-GB"/>
        </w:rPr>
        <w:t xml:space="preserve">work with mobile </w:t>
      </w:r>
      <w:r w:rsidR="0004457B">
        <w:rPr>
          <w:rFonts w:cs="Calibri"/>
          <w:color w:val="101010"/>
          <w:lang w:eastAsia="en-GB"/>
        </w:rPr>
        <w:t xml:space="preserve">indigenous </w:t>
      </w:r>
      <w:r w:rsidR="00126836">
        <w:rPr>
          <w:rFonts w:cs="Calibri"/>
          <w:color w:val="101010"/>
          <w:lang w:eastAsia="en-GB"/>
        </w:rPr>
        <w:t>peoples as rights holders to</w:t>
      </w:r>
      <w:r w:rsidR="004F291F">
        <w:rPr>
          <w:rFonts w:cs="Calibri"/>
          <w:color w:val="101010"/>
          <w:lang w:eastAsia="en-GB"/>
        </w:rPr>
        <w:t xml:space="preserve"> </w:t>
      </w:r>
      <w:r w:rsidR="004F291F" w:rsidRPr="0021788F">
        <w:rPr>
          <w:rFonts w:cs="Calibri"/>
          <w:b/>
          <w:bCs/>
          <w:color w:val="101010"/>
          <w:lang w:eastAsia="en-GB"/>
        </w:rPr>
        <w:t xml:space="preserve">reaffirm, redirect and revise </w:t>
      </w:r>
      <w:r w:rsidRPr="10E53A0F">
        <w:rPr>
          <w:rFonts w:cs="Calibri"/>
          <w:color w:val="101010"/>
          <w:lang w:eastAsia="en-GB"/>
        </w:rPr>
        <w:t xml:space="preserve">ways to improve engagement on the interrelated priorities of conservation, climate adaptation/resilience, habitat loss, and </w:t>
      </w:r>
      <w:r w:rsidR="0021788F">
        <w:rPr>
          <w:rFonts w:cs="Calibri"/>
          <w:color w:val="101010"/>
          <w:lang w:eastAsia="en-GB"/>
        </w:rPr>
        <w:t>sustainable development</w:t>
      </w:r>
      <w:r w:rsidR="00AC5F9F" w:rsidRPr="10E53A0F">
        <w:rPr>
          <w:rFonts w:cs="Calibri"/>
          <w:color w:val="101010"/>
          <w:lang w:eastAsia="en-GB"/>
        </w:rPr>
        <w:t xml:space="preserve">. </w:t>
      </w:r>
    </w:p>
    <w:p w14:paraId="4C8F4232" w14:textId="26DBF20D" w:rsidR="009F1D48" w:rsidRDefault="10E53A0F" w:rsidP="0063424B">
      <w:pPr>
        <w:ind w:firstLine="720"/>
      </w:pPr>
      <w:r>
        <w:t>The Dana Declaration Standing Committee is exploring the possibility of grant</w:t>
      </w:r>
      <w:r w:rsidR="00172DDA">
        <w:t>s and non-monetary pledges</w:t>
      </w:r>
      <w:r>
        <w:t xml:space="preserve"> in partnership with international foundations, such as the Ford Foundation,</w:t>
      </w:r>
      <w:r w:rsidR="00172DDA">
        <w:t xml:space="preserve"> the</w:t>
      </w:r>
      <w:r w:rsidR="000823CF">
        <w:t xml:space="preserve"> </w:t>
      </w:r>
      <w:r>
        <w:t>Christensen Fund, IFAD,</w:t>
      </w:r>
      <w:r w:rsidR="000823CF">
        <w:t xml:space="preserve"> </w:t>
      </w:r>
      <w:r w:rsidR="0004457B">
        <w:t xml:space="preserve">FAO Forest and Farm Facility, </w:t>
      </w:r>
      <w:r>
        <w:t>and the World Wildlife Fund in order to organize</w:t>
      </w:r>
      <w:r w:rsidR="000823CF">
        <w:t xml:space="preserve"> </w:t>
      </w:r>
      <w:r w:rsidR="00172DDA">
        <w:t xml:space="preserve">and promote the </w:t>
      </w:r>
      <w:r>
        <w:t xml:space="preserve">Dana+20 workshop in </w:t>
      </w:r>
      <w:proofErr w:type="spellStart"/>
      <w:r>
        <w:t>Wadi</w:t>
      </w:r>
      <w:proofErr w:type="spellEnd"/>
      <w:r>
        <w:t xml:space="preserve"> Dana, Jordan in the early </w:t>
      </w:r>
      <w:r w:rsidR="00137783">
        <w:t>September</w:t>
      </w:r>
      <w:r>
        <w:t xml:space="preserve"> of 2022. This workshop would build a strategic framework for reducing the invisibility and marginality of mobile indigenous </w:t>
      </w:r>
      <w:r w:rsidR="0021788F">
        <w:t>peoples and</w:t>
      </w:r>
      <w:r>
        <w:t xml:space="preserve"> address the bias</w:t>
      </w:r>
      <w:r w:rsidR="00137783">
        <w:t xml:space="preserve">es and problematic issues mobile peoples face </w:t>
      </w:r>
      <w:r>
        <w:t>in</w:t>
      </w:r>
      <w:r w:rsidR="000823CF">
        <w:t xml:space="preserve"> </w:t>
      </w:r>
      <w:r>
        <w:t>the context of contemporary biodiversity conservation, sustainable development, and climate change.</w:t>
      </w:r>
      <w:r w:rsidR="008D2D3F">
        <w:t xml:space="preserve"> To that end, the workshop would aim to also generate an advocacy, research and work plan for furthering the rights of mobile indigenous peoples in international and national policy making.</w:t>
      </w:r>
    </w:p>
    <w:p w14:paraId="14B8A1E9" w14:textId="3BF5972F" w:rsidR="000C231C" w:rsidRDefault="10E53A0F" w:rsidP="0063424B">
      <w:pPr>
        <w:shd w:val="clear" w:color="auto" w:fill="FFFFFF" w:themeFill="background1"/>
        <w:ind w:firstLine="720"/>
        <w:contextualSpacing/>
        <w:rPr>
          <w:rFonts w:cs="Calibri"/>
          <w:color w:val="101010"/>
          <w:lang w:eastAsia="en-GB"/>
        </w:rPr>
      </w:pPr>
      <w:r>
        <w:t xml:space="preserve">It is envisaged that the Dana Declaration Standing Committee would organize the workshop and initially oversee the implementation of any strategy emerging from such a meeting, while also overseeing the development of a statement to be delivered </w:t>
      </w:r>
      <w:r w:rsidRPr="10E53A0F">
        <w:rPr>
          <w:rFonts w:cs="Calibri"/>
          <w:color w:val="101010"/>
          <w:lang w:eastAsia="en-GB"/>
        </w:rPr>
        <w:t xml:space="preserve">to numerous international </w:t>
      </w:r>
      <w:proofErr w:type="spellStart"/>
      <w:r w:rsidRPr="10E53A0F">
        <w:rPr>
          <w:rFonts w:cs="Calibri"/>
          <w:color w:val="101010"/>
          <w:lang w:eastAsia="en-GB"/>
        </w:rPr>
        <w:t>fora</w:t>
      </w:r>
      <w:proofErr w:type="spellEnd"/>
      <w:r w:rsidRPr="10E53A0F">
        <w:rPr>
          <w:rFonts w:cs="Calibri"/>
          <w:color w:val="101010"/>
          <w:lang w:eastAsia="en-GB"/>
        </w:rPr>
        <w:t xml:space="preserve"> such as the UNPFII, COP2</w:t>
      </w:r>
      <w:r w:rsidR="00137783">
        <w:rPr>
          <w:rFonts w:cs="Calibri"/>
          <w:color w:val="101010"/>
          <w:lang w:eastAsia="en-GB"/>
        </w:rPr>
        <w:t>8</w:t>
      </w:r>
      <w:r w:rsidRPr="10E53A0F">
        <w:rPr>
          <w:rFonts w:cs="Calibri"/>
          <w:color w:val="101010"/>
          <w:lang w:eastAsia="en-GB"/>
        </w:rPr>
        <w:t xml:space="preserve"> (November 2022), and </w:t>
      </w:r>
      <w:r w:rsidR="000823CF">
        <w:rPr>
          <w:rFonts w:cs="Calibri"/>
          <w:color w:val="101010"/>
          <w:lang w:eastAsia="en-GB"/>
        </w:rPr>
        <w:t>events leading up to and during</w:t>
      </w:r>
      <w:r w:rsidRPr="10E53A0F">
        <w:rPr>
          <w:rFonts w:cs="Calibri"/>
          <w:color w:val="101010"/>
          <w:lang w:eastAsia="en-GB"/>
        </w:rPr>
        <w:t xml:space="preserve"> the International Year of Rangelands and Pastoralists (</w:t>
      </w:r>
      <w:bookmarkStart w:id="0" w:name="_GoBack"/>
      <w:r w:rsidRPr="10E53A0F">
        <w:rPr>
          <w:rFonts w:cs="Calibri"/>
          <w:color w:val="101010"/>
          <w:lang w:eastAsia="en-GB"/>
        </w:rPr>
        <w:t>IYRP</w:t>
      </w:r>
      <w:bookmarkEnd w:id="0"/>
      <w:r w:rsidRPr="10E53A0F">
        <w:rPr>
          <w:rFonts w:cs="Calibri"/>
          <w:color w:val="101010"/>
          <w:lang w:eastAsia="en-GB"/>
        </w:rPr>
        <w:t xml:space="preserve">) </w:t>
      </w:r>
      <w:r w:rsidR="000823CF">
        <w:rPr>
          <w:rFonts w:cs="Calibri"/>
          <w:color w:val="101010"/>
          <w:lang w:eastAsia="en-GB"/>
        </w:rPr>
        <w:t>proposed for</w:t>
      </w:r>
      <w:r w:rsidRPr="10E53A0F">
        <w:rPr>
          <w:rFonts w:cs="Calibri"/>
          <w:color w:val="101010"/>
          <w:lang w:eastAsia="en-GB"/>
        </w:rPr>
        <w:t xml:space="preserve"> 202</w:t>
      </w:r>
      <w:r w:rsidR="003F739F">
        <w:rPr>
          <w:rFonts w:cs="Calibri"/>
          <w:color w:val="101010"/>
          <w:lang w:eastAsia="en-GB"/>
        </w:rPr>
        <w:t>6</w:t>
      </w:r>
      <w:r w:rsidRPr="10E53A0F">
        <w:rPr>
          <w:rFonts w:cs="Calibri"/>
          <w:color w:val="101010"/>
          <w:lang w:eastAsia="en-GB"/>
        </w:rPr>
        <w:t>.</w:t>
      </w:r>
      <w:r w:rsidR="00FB6015">
        <w:rPr>
          <w:rFonts w:cs="Calibri"/>
          <w:color w:val="101010"/>
          <w:lang w:eastAsia="en-GB"/>
        </w:rPr>
        <w:t xml:space="preserve"> This workshop would </w:t>
      </w:r>
      <w:r w:rsidR="00FB6015">
        <w:t>include a component of how mobile peoples</w:t>
      </w:r>
      <w:r w:rsidR="0090682D">
        <w:t>’</w:t>
      </w:r>
      <w:r w:rsidR="00FB6015">
        <w:t xml:space="preserve">  </w:t>
      </w:r>
      <w:r w:rsidR="00FB6015">
        <w:lastRenderedPageBreak/>
        <w:t xml:space="preserve">advocates could raise awareness about </w:t>
      </w:r>
      <w:r w:rsidR="0090682D">
        <w:t xml:space="preserve">the </w:t>
      </w:r>
      <w:r w:rsidR="00FB6015">
        <w:t xml:space="preserve">IYRP among their communities and give feedback to refine the </w:t>
      </w:r>
      <w:r w:rsidR="0090682D">
        <w:t xml:space="preserve">12 global </w:t>
      </w:r>
      <w:r w:rsidR="00FB6015">
        <w:t xml:space="preserve">IYRP themes; </w:t>
      </w:r>
      <w:r w:rsidR="0090682D">
        <w:t xml:space="preserve">and </w:t>
      </w:r>
      <w:r w:rsidR="00880113">
        <w:t>also,</w:t>
      </w:r>
      <w:r w:rsidR="0090682D">
        <w:t xml:space="preserve"> </w:t>
      </w:r>
      <w:r w:rsidR="00FB6015">
        <w:t>how they could bring the findings of the Dana+20 workshop to the attention of IYRP stakeholders</w:t>
      </w:r>
      <w:r w:rsidR="0090682D">
        <w:t xml:space="preserve">. This would make the Dana+20 workshop a vital step in </w:t>
      </w:r>
      <w:r w:rsidR="00FB6015">
        <w:t xml:space="preserve">the IYRP process </w:t>
      </w:r>
      <w:r w:rsidR="0090682D">
        <w:t xml:space="preserve">by helping mobile pastoralists organize themselves </w:t>
      </w:r>
      <w:r w:rsidR="00FB6015">
        <w:t xml:space="preserve">to take full part in the </w:t>
      </w:r>
      <w:r w:rsidR="0090682D">
        <w:t xml:space="preserve">activities leading up to and during the </w:t>
      </w:r>
      <w:r w:rsidR="00FB6015">
        <w:t xml:space="preserve">IYRP </w:t>
      </w:r>
      <w:r w:rsidR="0090682D">
        <w:t xml:space="preserve">in </w:t>
      </w:r>
      <w:r w:rsidR="00FB6015">
        <w:t>2026.   </w:t>
      </w:r>
    </w:p>
    <w:p w14:paraId="0A28168E" w14:textId="35B7BBA8" w:rsidR="006B2D50" w:rsidRPr="006B2D50" w:rsidRDefault="006B2D50" w:rsidP="006B2D50">
      <w:pPr>
        <w:shd w:val="clear" w:color="auto" w:fill="FFFFFF"/>
        <w:contextualSpacing/>
        <w:rPr>
          <w:rFonts w:cs="Calibri"/>
          <w:color w:val="101010"/>
          <w:lang w:eastAsia="en-GB"/>
        </w:rPr>
      </w:pPr>
    </w:p>
    <w:p w14:paraId="3EF5EDD3" w14:textId="77777777" w:rsidR="00F64AB8" w:rsidRDefault="00F64AB8"/>
    <w:p w14:paraId="7BB17FE1" w14:textId="18E1FFDB" w:rsidR="001B5931" w:rsidRDefault="10E53A0F" w:rsidP="000823CF">
      <w:pPr>
        <w:outlineLvl w:val="0"/>
        <w:rPr>
          <w:b/>
          <w:bCs/>
        </w:rPr>
      </w:pPr>
      <w:r w:rsidRPr="10E53A0F">
        <w:rPr>
          <w:b/>
          <w:bCs/>
        </w:rPr>
        <w:t xml:space="preserve">Total Funding Required: </w:t>
      </w:r>
      <w:r w:rsidR="001B5931">
        <w:tab/>
      </w:r>
      <w:r w:rsidR="001B5931">
        <w:tab/>
      </w:r>
      <w:r w:rsidR="001B5931">
        <w:tab/>
      </w:r>
      <w:r w:rsidRPr="10E53A0F">
        <w:rPr>
          <w:b/>
          <w:bCs/>
        </w:rPr>
        <w:t>£ 5</w:t>
      </w:r>
      <w:r w:rsidR="0063424B">
        <w:rPr>
          <w:b/>
          <w:bCs/>
        </w:rPr>
        <w:t>5</w:t>
      </w:r>
      <w:r w:rsidRPr="10E53A0F">
        <w:rPr>
          <w:b/>
          <w:bCs/>
        </w:rPr>
        <w:t>,000</w:t>
      </w:r>
    </w:p>
    <w:p w14:paraId="6383DED6" w14:textId="77777777" w:rsidR="00536DD8" w:rsidRDefault="00536DD8">
      <w:pPr>
        <w:rPr>
          <w:b/>
        </w:rPr>
      </w:pPr>
    </w:p>
    <w:p w14:paraId="55089A92" w14:textId="06146ED1" w:rsidR="001B5931" w:rsidRDefault="001B5931">
      <w:pPr>
        <w:rPr>
          <w:b/>
        </w:rPr>
      </w:pPr>
      <w:r>
        <w:rPr>
          <w:b/>
        </w:rPr>
        <w:t xml:space="preserve">Funding received thus far: </w:t>
      </w:r>
      <w:r>
        <w:rPr>
          <w:b/>
        </w:rPr>
        <w:tab/>
      </w:r>
      <w:r>
        <w:rPr>
          <w:b/>
        </w:rPr>
        <w:tab/>
      </w:r>
      <w:r>
        <w:rPr>
          <w:b/>
        </w:rPr>
        <w:tab/>
      </w:r>
      <w:r w:rsidR="00126836">
        <w:rPr>
          <w:b/>
        </w:rPr>
        <w:t>£20,000</w:t>
      </w:r>
      <w:r>
        <w:rPr>
          <w:b/>
        </w:rPr>
        <w:t xml:space="preserve"> </w:t>
      </w:r>
      <w:r w:rsidR="00536DD8">
        <w:rPr>
          <w:b/>
        </w:rPr>
        <w:t>_____________________________________________</w:t>
      </w:r>
    </w:p>
    <w:p w14:paraId="461EC348" w14:textId="5F2C9603" w:rsidR="001B5931" w:rsidRPr="00F64AB8" w:rsidRDefault="001B5931">
      <w:pPr>
        <w:rPr>
          <w:b/>
        </w:rPr>
      </w:pPr>
      <w:r>
        <w:rPr>
          <w:b/>
        </w:rPr>
        <w:t>Funding Outstanding:</w:t>
      </w:r>
      <w:r>
        <w:rPr>
          <w:b/>
        </w:rPr>
        <w:tab/>
      </w:r>
      <w:r>
        <w:rPr>
          <w:b/>
        </w:rPr>
        <w:tab/>
      </w:r>
      <w:r>
        <w:rPr>
          <w:b/>
        </w:rPr>
        <w:tab/>
        <w:t xml:space="preserve"> </w:t>
      </w:r>
      <w:r w:rsidR="005D2F91">
        <w:rPr>
          <w:b/>
        </w:rPr>
        <w:t>£</w:t>
      </w:r>
      <w:r>
        <w:rPr>
          <w:b/>
        </w:rPr>
        <w:t xml:space="preserve"> </w:t>
      </w:r>
      <w:r w:rsidR="0021788F">
        <w:rPr>
          <w:b/>
        </w:rPr>
        <w:t>3</w:t>
      </w:r>
      <w:r w:rsidR="00126836">
        <w:rPr>
          <w:b/>
        </w:rPr>
        <w:t>5,000</w:t>
      </w:r>
    </w:p>
    <w:p w14:paraId="25367EBE" w14:textId="77777777" w:rsidR="00F64AB8" w:rsidRDefault="00F64AB8"/>
    <w:p w14:paraId="36A913D8" w14:textId="57B5CAB4" w:rsidR="00F64AB8" w:rsidRDefault="10E53A0F">
      <w:r>
        <w:t>Local travel, accommodation</w:t>
      </w:r>
      <w:r w:rsidR="00880113">
        <w:t>,</w:t>
      </w:r>
      <w:r>
        <w:t xml:space="preserve"> and air fares: 16 representatives of mobile indigenous peoples (including translators) £2,000 per person X </w:t>
      </w:r>
      <w:r w:rsidR="00145502">
        <w:t>16</w:t>
      </w:r>
      <w:r w:rsidR="00F64AB8">
        <w:tab/>
      </w:r>
      <w:r w:rsidR="00F64AB8">
        <w:tab/>
      </w:r>
      <w:r>
        <w:t xml:space="preserve">     </w:t>
      </w:r>
      <w:r w:rsidR="0063424B">
        <w:t xml:space="preserve">     </w:t>
      </w:r>
      <w:r>
        <w:t xml:space="preserve">  £ 32,000</w:t>
      </w:r>
    </w:p>
    <w:p w14:paraId="0F6B10A0" w14:textId="0B5192C4" w:rsidR="00F64AB8" w:rsidRDefault="00F64AB8">
      <w:r>
        <w:t>Accommodation and air fares</w:t>
      </w:r>
      <w:r w:rsidR="00545FF4">
        <w:t>:</w:t>
      </w:r>
      <w:r>
        <w:t xml:space="preserve"> </w:t>
      </w:r>
      <w:r w:rsidR="000603D5">
        <w:t>9</w:t>
      </w:r>
      <w:r w:rsidR="005D2F91">
        <w:t xml:space="preserve"> </w:t>
      </w:r>
      <w:r w:rsidR="007A5066">
        <w:t>senior</w:t>
      </w:r>
      <w:r>
        <w:t xml:space="preserve"> scientist and policymakers </w:t>
      </w:r>
    </w:p>
    <w:p w14:paraId="196984B9" w14:textId="7100A2EF" w:rsidR="00F64AB8" w:rsidRDefault="10E53A0F">
      <w:r>
        <w:t>(</w:t>
      </w:r>
      <w:r w:rsidR="0021788F">
        <w:t>Including</w:t>
      </w:r>
      <w:r>
        <w:t xml:space="preserve"> organizer and admin assistant) £1,500 per person X 10</w:t>
      </w:r>
      <w:r w:rsidR="00232C76">
        <w:tab/>
      </w:r>
      <w:r w:rsidR="00232C76">
        <w:tab/>
      </w:r>
      <w:r>
        <w:t>£ 15,000</w:t>
      </w:r>
    </w:p>
    <w:p w14:paraId="1B4168F6" w14:textId="270EE71F" w:rsidR="00F64AB8" w:rsidRDefault="10E53A0F">
      <w:r>
        <w:t xml:space="preserve">Administrative assistant </w:t>
      </w:r>
      <w:r w:rsidR="00660586">
        <w:t>£</w:t>
      </w:r>
      <w:r>
        <w:t>18 per hour X 10 hours X 8 weeks</w:t>
      </w:r>
      <w:r w:rsidR="00133377">
        <w:tab/>
      </w:r>
      <w:r w:rsidR="00133377">
        <w:tab/>
      </w:r>
      <w:r w:rsidR="0063424B">
        <w:t xml:space="preserve"> </w:t>
      </w:r>
      <w:r w:rsidR="000823CF">
        <w:t xml:space="preserve"> </w:t>
      </w:r>
      <w:r>
        <w:t>£</w:t>
      </w:r>
      <w:r w:rsidR="000823CF">
        <w:t xml:space="preserve"> </w:t>
      </w:r>
      <w:r>
        <w:t>1,440</w:t>
      </w:r>
    </w:p>
    <w:p w14:paraId="00156256" w14:textId="6998E257" w:rsidR="00F64AB8" w:rsidRDefault="10E53A0F">
      <w:r>
        <w:t>Design and printing costs for outputs</w:t>
      </w:r>
      <w:r w:rsidR="00133377">
        <w:tab/>
      </w:r>
      <w:r>
        <w:t xml:space="preserve"> </w:t>
      </w:r>
      <w:r w:rsidR="00133377">
        <w:tab/>
      </w:r>
      <w:r w:rsidR="00133377">
        <w:tab/>
      </w:r>
      <w:r w:rsidR="00133377">
        <w:tab/>
      </w:r>
      <w:r w:rsidR="00133377">
        <w:tab/>
      </w:r>
      <w:r w:rsidR="00133377">
        <w:tab/>
      </w:r>
      <w:r>
        <w:t xml:space="preserve"> </w:t>
      </w:r>
      <w:r w:rsidR="000823CF">
        <w:t xml:space="preserve">  </w:t>
      </w:r>
      <w:r>
        <w:t>£</w:t>
      </w:r>
      <w:r w:rsidR="000823CF">
        <w:t xml:space="preserve"> </w:t>
      </w:r>
      <w:r>
        <w:t>1560</w:t>
      </w:r>
    </w:p>
    <w:p w14:paraId="4F6A2866" w14:textId="08909227" w:rsidR="00F64AB8" w:rsidRDefault="10E53A0F">
      <w:r>
        <w:t>Office costs and administration (10%)</w:t>
      </w:r>
      <w:r w:rsidR="00F64AB8">
        <w:tab/>
      </w:r>
      <w:r w:rsidR="00F64AB8">
        <w:tab/>
      </w:r>
      <w:r w:rsidR="00F64AB8">
        <w:tab/>
      </w:r>
      <w:r w:rsidR="00F64AB8">
        <w:tab/>
      </w:r>
      <w:r w:rsidR="00F64AB8">
        <w:tab/>
      </w:r>
      <w:r>
        <w:t xml:space="preserve"> </w:t>
      </w:r>
      <w:r w:rsidR="000823CF">
        <w:t xml:space="preserve"> </w:t>
      </w:r>
      <w:r>
        <w:t>£ 5,000</w:t>
      </w:r>
    </w:p>
    <w:p w14:paraId="369CC2E0" w14:textId="77777777" w:rsidR="00F64AB8" w:rsidRDefault="00F64AB8"/>
    <w:p w14:paraId="36ECC91E" w14:textId="35875D22" w:rsidR="00F64AB8" w:rsidRPr="00F64AB8" w:rsidRDefault="00F64AB8" w:rsidP="10E53A0F">
      <w:pPr>
        <w:rPr>
          <w:b/>
          <w:bCs/>
        </w:rPr>
      </w:pPr>
      <w:r>
        <w:tab/>
      </w:r>
      <w:r>
        <w:tab/>
      </w:r>
      <w:r>
        <w:tab/>
      </w:r>
      <w:r>
        <w:tab/>
      </w:r>
      <w:r>
        <w:tab/>
      </w:r>
      <w:r w:rsidRPr="10E53A0F">
        <w:rPr>
          <w:b/>
          <w:bCs/>
        </w:rPr>
        <w:t xml:space="preserve">TOTAL          </w:t>
      </w:r>
      <w:r w:rsidR="00E8668A">
        <w:rPr>
          <w:b/>
        </w:rPr>
        <w:tab/>
      </w:r>
      <w:r w:rsidRPr="00F64AB8">
        <w:rPr>
          <w:b/>
        </w:rPr>
        <w:t xml:space="preserve">         </w:t>
      </w:r>
      <w:r w:rsidR="00232C76" w:rsidRPr="10E53A0F">
        <w:rPr>
          <w:b/>
          <w:bCs/>
        </w:rPr>
        <w:t xml:space="preserve"> =</w:t>
      </w:r>
      <w:r w:rsidR="0063424B">
        <w:rPr>
          <w:b/>
          <w:bCs/>
        </w:rPr>
        <w:tab/>
      </w:r>
      <w:r w:rsidR="000603D5" w:rsidRPr="10E53A0F">
        <w:rPr>
          <w:b/>
          <w:bCs/>
        </w:rPr>
        <w:t>£</w:t>
      </w:r>
      <w:r w:rsidR="000823CF">
        <w:rPr>
          <w:b/>
          <w:bCs/>
        </w:rPr>
        <w:t xml:space="preserve"> </w:t>
      </w:r>
      <w:r w:rsidRPr="10E53A0F">
        <w:rPr>
          <w:b/>
          <w:bCs/>
        </w:rPr>
        <w:t>55</w:t>
      </w:r>
      <w:r w:rsidR="00232C76" w:rsidRPr="10E53A0F">
        <w:rPr>
          <w:b/>
          <w:bCs/>
        </w:rPr>
        <w:t>,</w:t>
      </w:r>
      <w:r w:rsidRPr="10E53A0F">
        <w:rPr>
          <w:b/>
          <w:bCs/>
        </w:rPr>
        <w:t>0</w:t>
      </w:r>
      <w:r w:rsidR="10E53A0F" w:rsidRPr="10E53A0F">
        <w:rPr>
          <w:b/>
          <w:bCs/>
        </w:rPr>
        <w:t>00</w:t>
      </w:r>
    </w:p>
    <w:p w14:paraId="68F2030E" w14:textId="71B65D77" w:rsidR="009F1D48" w:rsidRDefault="00F64AB8">
      <w:r>
        <w:t xml:space="preserve"> </w:t>
      </w:r>
    </w:p>
    <w:p w14:paraId="276C31A4" w14:textId="2D43A382" w:rsidR="009F1D48" w:rsidRDefault="009F1D48" w:rsidP="000823CF">
      <w:pPr>
        <w:outlineLvl w:val="0"/>
      </w:pPr>
      <w:r>
        <w:t>Dawn Chatty</w:t>
      </w:r>
      <w:r w:rsidR="00EF27E9">
        <w:t xml:space="preserve"> and </w:t>
      </w:r>
      <w:proofErr w:type="spellStart"/>
      <w:r w:rsidR="00EF27E9">
        <w:t>Ariell</w:t>
      </w:r>
      <w:proofErr w:type="spellEnd"/>
      <w:r w:rsidR="00EF27E9">
        <w:t xml:space="preserve"> Ahearn</w:t>
      </w:r>
    </w:p>
    <w:p w14:paraId="7CB91639" w14:textId="77777777" w:rsidR="00AD4763" w:rsidRDefault="00EF27E9">
      <w:r>
        <w:t>Co-</w:t>
      </w:r>
      <w:r w:rsidR="009F1D48">
        <w:t>Chair</w:t>
      </w:r>
      <w:r>
        <w:t>s</w:t>
      </w:r>
      <w:r w:rsidR="009F1D48">
        <w:t>, Dana Standing Committee</w:t>
      </w:r>
    </w:p>
    <w:p w14:paraId="215FA0C6" w14:textId="7C2C8BFF" w:rsidR="009F1D48" w:rsidRDefault="009F1D48"/>
    <w:p w14:paraId="6CA7859F" w14:textId="77777777" w:rsidR="009F1D48" w:rsidRDefault="009F1D48">
      <w:r>
        <w:t>References:</w:t>
      </w:r>
      <w:r w:rsidR="00196B2F">
        <w:t xml:space="preserve"> </w:t>
      </w:r>
    </w:p>
    <w:p w14:paraId="71BE1FB7" w14:textId="77777777" w:rsidR="00AD4763" w:rsidRDefault="00AD4763"/>
    <w:p w14:paraId="25D3B288" w14:textId="0983AA50" w:rsidR="009F1D48" w:rsidRPr="001B5931" w:rsidRDefault="009F1D48">
      <w:pPr>
        <w:rPr>
          <w:sz w:val="22"/>
          <w:szCs w:val="22"/>
        </w:rPr>
      </w:pPr>
      <w:r w:rsidRPr="001B5931">
        <w:rPr>
          <w:sz w:val="22"/>
          <w:szCs w:val="22"/>
        </w:rPr>
        <w:t>Beltran, J. (</w:t>
      </w:r>
      <w:proofErr w:type="spellStart"/>
      <w:r w:rsidRPr="001B5931">
        <w:rPr>
          <w:sz w:val="22"/>
          <w:szCs w:val="22"/>
        </w:rPr>
        <w:t>ed</w:t>
      </w:r>
      <w:proofErr w:type="spellEnd"/>
      <w:r w:rsidRPr="001B5931">
        <w:rPr>
          <w:sz w:val="22"/>
          <w:szCs w:val="22"/>
        </w:rPr>
        <w:t xml:space="preserve">) 2000 </w:t>
      </w:r>
      <w:r w:rsidRPr="001B5931">
        <w:rPr>
          <w:i/>
          <w:iCs/>
          <w:sz w:val="22"/>
          <w:szCs w:val="22"/>
        </w:rPr>
        <w:t>Indigenous and Traditional Peoples and Protected Areas: Principles, Guidelines and Case Studies</w:t>
      </w:r>
      <w:r w:rsidR="001D2740">
        <w:rPr>
          <w:i/>
          <w:iCs/>
          <w:sz w:val="22"/>
          <w:szCs w:val="22"/>
        </w:rPr>
        <w:t>.</w:t>
      </w:r>
      <w:r w:rsidRPr="001B5931">
        <w:rPr>
          <w:sz w:val="22"/>
          <w:szCs w:val="22"/>
        </w:rPr>
        <w:t xml:space="preserve"> </w:t>
      </w:r>
      <w:proofErr w:type="gramStart"/>
      <w:r w:rsidRPr="001B5931">
        <w:rPr>
          <w:bCs/>
          <w:sz w:val="22"/>
          <w:szCs w:val="22"/>
        </w:rPr>
        <w:t>IUCN, Cambridge UK and Gland Switzerland.</w:t>
      </w:r>
      <w:proofErr w:type="gramEnd"/>
    </w:p>
    <w:p w14:paraId="2EC547FE" w14:textId="16E48BAF" w:rsidR="00AD4763" w:rsidRPr="001B5931" w:rsidRDefault="00AD4763">
      <w:pPr>
        <w:rPr>
          <w:bCs/>
          <w:sz w:val="22"/>
          <w:szCs w:val="22"/>
        </w:rPr>
      </w:pPr>
      <w:proofErr w:type="spellStart"/>
      <w:r w:rsidRPr="001B5931">
        <w:rPr>
          <w:bCs/>
          <w:sz w:val="22"/>
          <w:szCs w:val="22"/>
        </w:rPr>
        <w:t>Borrini-Feyerabend</w:t>
      </w:r>
      <w:proofErr w:type="spellEnd"/>
      <w:r w:rsidRPr="001B5931">
        <w:rPr>
          <w:bCs/>
          <w:sz w:val="22"/>
          <w:szCs w:val="22"/>
        </w:rPr>
        <w:t xml:space="preserve">, G., M </w:t>
      </w:r>
      <w:proofErr w:type="spellStart"/>
      <w:r w:rsidRPr="001B5931">
        <w:rPr>
          <w:bCs/>
          <w:sz w:val="22"/>
          <w:szCs w:val="22"/>
        </w:rPr>
        <w:t>Pimbert</w:t>
      </w:r>
      <w:proofErr w:type="spellEnd"/>
      <w:r w:rsidRPr="001B5931">
        <w:rPr>
          <w:bCs/>
          <w:sz w:val="22"/>
          <w:szCs w:val="22"/>
        </w:rPr>
        <w:t xml:space="preserve">, et </w:t>
      </w:r>
      <w:r w:rsidR="007A5066" w:rsidRPr="001B5931">
        <w:rPr>
          <w:bCs/>
          <w:sz w:val="22"/>
          <w:szCs w:val="22"/>
        </w:rPr>
        <w:t>al</w:t>
      </w:r>
      <w:r w:rsidR="00874A30">
        <w:rPr>
          <w:bCs/>
          <w:sz w:val="22"/>
          <w:szCs w:val="22"/>
        </w:rPr>
        <w:t xml:space="preserve"> (2007)</w:t>
      </w:r>
      <w:r w:rsidR="007A5066" w:rsidRPr="001B5931">
        <w:rPr>
          <w:bCs/>
          <w:sz w:val="22"/>
          <w:szCs w:val="22"/>
        </w:rPr>
        <w:t xml:space="preserve"> Sharing</w:t>
      </w:r>
      <w:r w:rsidRPr="001B5931">
        <w:rPr>
          <w:bCs/>
          <w:i/>
          <w:sz w:val="22"/>
          <w:szCs w:val="22"/>
        </w:rPr>
        <w:t xml:space="preserve"> Power; A Global Guide to Collaborative Management of Natural Resources</w:t>
      </w:r>
      <w:r w:rsidRPr="001B5931">
        <w:rPr>
          <w:bCs/>
          <w:sz w:val="22"/>
          <w:szCs w:val="22"/>
        </w:rPr>
        <w:t xml:space="preserve">. London: </w:t>
      </w:r>
      <w:proofErr w:type="spellStart"/>
      <w:r w:rsidRPr="001B5931">
        <w:rPr>
          <w:bCs/>
          <w:sz w:val="22"/>
          <w:szCs w:val="22"/>
        </w:rPr>
        <w:t>Earthscan</w:t>
      </w:r>
      <w:proofErr w:type="spellEnd"/>
      <w:r w:rsidRPr="001B5931">
        <w:rPr>
          <w:bCs/>
          <w:sz w:val="22"/>
          <w:szCs w:val="22"/>
        </w:rPr>
        <w:t xml:space="preserve"> </w:t>
      </w:r>
    </w:p>
    <w:p w14:paraId="6167B39D" w14:textId="365829C6" w:rsidR="00632DAD" w:rsidRPr="001B5931" w:rsidRDefault="00632DAD">
      <w:pPr>
        <w:rPr>
          <w:bCs/>
          <w:sz w:val="22"/>
          <w:szCs w:val="22"/>
        </w:rPr>
      </w:pPr>
      <w:proofErr w:type="spellStart"/>
      <w:r w:rsidRPr="001B5931">
        <w:rPr>
          <w:bCs/>
          <w:sz w:val="22"/>
          <w:szCs w:val="22"/>
        </w:rPr>
        <w:t>Brockington</w:t>
      </w:r>
      <w:proofErr w:type="spellEnd"/>
      <w:r w:rsidRPr="001B5931">
        <w:rPr>
          <w:bCs/>
          <w:sz w:val="22"/>
          <w:szCs w:val="22"/>
        </w:rPr>
        <w:t xml:space="preserve">, D, J. </w:t>
      </w:r>
      <w:proofErr w:type="spellStart"/>
      <w:r w:rsidRPr="001B5931">
        <w:rPr>
          <w:bCs/>
          <w:sz w:val="22"/>
          <w:szCs w:val="22"/>
        </w:rPr>
        <w:t>Igoe</w:t>
      </w:r>
      <w:proofErr w:type="spellEnd"/>
      <w:r w:rsidRPr="001B5931">
        <w:rPr>
          <w:bCs/>
          <w:sz w:val="22"/>
          <w:szCs w:val="22"/>
        </w:rPr>
        <w:t>, and K. Schmidt-</w:t>
      </w:r>
      <w:proofErr w:type="spellStart"/>
      <w:r w:rsidRPr="001B5931">
        <w:rPr>
          <w:bCs/>
          <w:sz w:val="22"/>
          <w:szCs w:val="22"/>
        </w:rPr>
        <w:t>Soltau</w:t>
      </w:r>
      <w:proofErr w:type="spellEnd"/>
      <w:r w:rsidRPr="001B5931">
        <w:rPr>
          <w:bCs/>
          <w:sz w:val="22"/>
          <w:szCs w:val="22"/>
        </w:rPr>
        <w:t xml:space="preserve"> (2006), “Conservation, </w:t>
      </w:r>
      <w:r w:rsidR="00A044F5">
        <w:rPr>
          <w:bCs/>
          <w:sz w:val="22"/>
          <w:szCs w:val="22"/>
        </w:rPr>
        <w:t>H</w:t>
      </w:r>
      <w:r w:rsidRPr="001B5931">
        <w:rPr>
          <w:bCs/>
          <w:sz w:val="22"/>
          <w:szCs w:val="22"/>
        </w:rPr>
        <w:t xml:space="preserve">uman </w:t>
      </w:r>
      <w:r w:rsidR="001D2740">
        <w:rPr>
          <w:bCs/>
          <w:sz w:val="22"/>
          <w:szCs w:val="22"/>
        </w:rPr>
        <w:t>R</w:t>
      </w:r>
      <w:r w:rsidRPr="001B5931">
        <w:rPr>
          <w:bCs/>
          <w:sz w:val="22"/>
          <w:szCs w:val="22"/>
        </w:rPr>
        <w:t xml:space="preserve">ights and Poverty </w:t>
      </w:r>
      <w:r w:rsidR="001D2740">
        <w:rPr>
          <w:bCs/>
          <w:sz w:val="22"/>
          <w:szCs w:val="22"/>
        </w:rPr>
        <w:t>R</w:t>
      </w:r>
      <w:r w:rsidRPr="001B5931">
        <w:rPr>
          <w:bCs/>
          <w:sz w:val="22"/>
          <w:szCs w:val="22"/>
        </w:rPr>
        <w:t xml:space="preserve">eduction” in </w:t>
      </w:r>
      <w:r w:rsidRPr="001B5931">
        <w:rPr>
          <w:bCs/>
          <w:i/>
          <w:sz w:val="22"/>
          <w:szCs w:val="22"/>
        </w:rPr>
        <w:t>Conservation Biology</w:t>
      </w:r>
      <w:r w:rsidRPr="001B5931">
        <w:rPr>
          <w:bCs/>
          <w:sz w:val="22"/>
          <w:szCs w:val="22"/>
        </w:rPr>
        <w:t>, 20 (1):250</w:t>
      </w:r>
      <w:r w:rsidR="001D2740">
        <w:rPr>
          <w:bCs/>
          <w:sz w:val="22"/>
          <w:szCs w:val="22"/>
        </w:rPr>
        <w:t>–</w:t>
      </w:r>
      <w:r w:rsidRPr="001B5931">
        <w:rPr>
          <w:bCs/>
          <w:sz w:val="22"/>
          <w:szCs w:val="22"/>
        </w:rPr>
        <w:t xml:space="preserve">252. </w:t>
      </w:r>
    </w:p>
    <w:p w14:paraId="62626DCB" w14:textId="6F4755B6" w:rsidR="00632DAD" w:rsidRPr="001B5931" w:rsidRDefault="00632DAD">
      <w:pPr>
        <w:rPr>
          <w:sz w:val="22"/>
          <w:szCs w:val="22"/>
        </w:rPr>
      </w:pPr>
      <w:proofErr w:type="spellStart"/>
      <w:r w:rsidRPr="001B5931">
        <w:rPr>
          <w:bCs/>
          <w:sz w:val="22"/>
          <w:szCs w:val="22"/>
        </w:rPr>
        <w:t>Brockington</w:t>
      </w:r>
      <w:proofErr w:type="spellEnd"/>
      <w:r w:rsidRPr="001B5931">
        <w:rPr>
          <w:bCs/>
          <w:sz w:val="22"/>
          <w:szCs w:val="22"/>
        </w:rPr>
        <w:t xml:space="preserve">, D., R. Duffy, and J. </w:t>
      </w:r>
      <w:proofErr w:type="spellStart"/>
      <w:r w:rsidRPr="001B5931">
        <w:rPr>
          <w:bCs/>
          <w:sz w:val="22"/>
          <w:szCs w:val="22"/>
        </w:rPr>
        <w:t>Igoe</w:t>
      </w:r>
      <w:proofErr w:type="spellEnd"/>
      <w:r w:rsidRPr="001B5931">
        <w:rPr>
          <w:bCs/>
          <w:sz w:val="22"/>
          <w:szCs w:val="22"/>
        </w:rPr>
        <w:t xml:space="preserve"> (2008) </w:t>
      </w:r>
      <w:r w:rsidRPr="001B5931">
        <w:rPr>
          <w:bCs/>
          <w:i/>
          <w:sz w:val="22"/>
          <w:szCs w:val="22"/>
        </w:rPr>
        <w:t>Nature Unbound: Conservation, Capitalism and the Future of Protected Areas</w:t>
      </w:r>
      <w:r w:rsidRPr="001B5931">
        <w:rPr>
          <w:bCs/>
          <w:sz w:val="22"/>
          <w:szCs w:val="22"/>
        </w:rPr>
        <w:t xml:space="preserve">. London: </w:t>
      </w:r>
      <w:proofErr w:type="spellStart"/>
      <w:r w:rsidRPr="001B5931">
        <w:rPr>
          <w:bCs/>
          <w:sz w:val="22"/>
          <w:szCs w:val="22"/>
        </w:rPr>
        <w:t>Earthscan</w:t>
      </w:r>
      <w:proofErr w:type="spellEnd"/>
      <w:r w:rsidRPr="001B5931">
        <w:rPr>
          <w:bCs/>
          <w:sz w:val="22"/>
          <w:szCs w:val="22"/>
        </w:rPr>
        <w:t>.</w:t>
      </w:r>
    </w:p>
    <w:p w14:paraId="1C4457CB" w14:textId="77777777" w:rsidR="00874A30" w:rsidRDefault="009F1D48">
      <w:pPr>
        <w:rPr>
          <w:sz w:val="22"/>
          <w:szCs w:val="22"/>
        </w:rPr>
      </w:pPr>
      <w:r w:rsidRPr="001B5931">
        <w:rPr>
          <w:sz w:val="22"/>
          <w:szCs w:val="22"/>
        </w:rPr>
        <w:t>Chatty, D. and Colchester, M. (</w:t>
      </w:r>
      <w:proofErr w:type="spellStart"/>
      <w:r w:rsidRPr="001B5931">
        <w:rPr>
          <w:sz w:val="22"/>
          <w:szCs w:val="22"/>
        </w:rPr>
        <w:t>eds</w:t>
      </w:r>
      <w:proofErr w:type="spellEnd"/>
      <w:r w:rsidRPr="001B5931">
        <w:rPr>
          <w:sz w:val="22"/>
          <w:szCs w:val="22"/>
        </w:rPr>
        <w:t xml:space="preserve">) 2002 </w:t>
      </w:r>
      <w:r w:rsidRPr="001B5931">
        <w:rPr>
          <w:i/>
          <w:sz w:val="22"/>
          <w:szCs w:val="22"/>
        </w:rPr>
        <w:t>Mobile Peoples and Conservation: Displacement, Forced Settlement and Sustainable Development</w:t>
      </w:r>
      <w:r w:rsidRPr="001B5931">
        <w:rPr>
          <w:sz w:val="22"/>
          <w:szCs w:val="22"/>
        </w:rPr>
        <w:t xml:space="preserve">. Oxford and New York: </w:t>
      </w:r>
      <w:proofErr w:type="spellStart"/>
      <w:r w:rsidRPr="001B5931">
        <w:rPr>
          <w:sz w:val="22"/>
          <w:szCs w:val="22"/>
        </w:rPr>
        <w:t>Berghahn</w:t>
      </w:r>
      <w:proofErr w:type="spellEnd"/>
      <w:r w:rsidRPr="001B5931">
        <w:rPr>
          <w:sz w:val="22"/>
          <w:szCs w:val="22"/>
        </w:rPr>
        <w:t xml:space="preserve"> Press.</w:t>
      </w:r>
    </w:p>
    <w:p w14:paraId="73B978A9" w14:textId="5403B9E2" w:rsidR="00A044F5" w:rsidRDefault="00874A30">
      <w:pPr>
        <w:rPr>
          <w:sz w:val="22"/>
          <w:szCs w:val="22"/>
        </w:rPr>
      </w:pPr>
      <w:r>
        <w:rPr>
          <w:sz w:val="22"/>
          <w:szCs w:val="22"/>
        </w:rPr>
        <w:t xml:space="preserve">Colchester, M. (2020) </w:t>
      </w:r>
      <w:r w:rsidRPr="00A044F5">
        <w:rPr>
          <w:i/>
          <w:iCs/>
          <w:sz w:val="22"/>
          <w:szCs w:val="22"/>
        </w:rPr>
        <w:t>Legal Obstacles to Territorial Rights, Compensation, Sustainable Production and Conservation on Forest People</w:t>
      </w:r>
      <w:r w:rsidR="008D2D3F">
        <w:rPr>
          <w:i/>
          <w:iCs/>
          <w:sz w:val="22"/>
          <w:szCs w:val="22"/>
        </w:rPr>
        <w:t>s</w:t>
      </w:r>
      <w:r w:rsidRPr="00A044F5">
        <w:rPr>
          <w:i/>
          <w:iCs/>
          <w:sz w:val="22"/>
          <w:szCs w:val="22"/>
        </w:rPr>
        <w:t>’ Lands.</w:t>
      </w:r>
      <w:r>
        <w:rPr>
          <w:sz w:val="22"/>
          <w:szCs w:val="22"/>
        </w:rPr>
        <w:t xml:space="preserve"> Liverpool: Liverpool University Press.</w:t>
      </w:r>
    </w:p>
    <w:p w14:paraId="751AE3D4" w14:textId="64A929C5" w:rsidR="009F1D48" w:rsidRPr="001B5931" w:rsidRDefault="00A044F5">
      <w:pPr>
        <w:rPr>
          <w:sz w:val="22"/>
          <w:szCs w:val="22"/>
        </w:rPr>
      </w:pPr>
      <w:r>
        <w:rPr>
          <w:sz w:val="22"/>
          <w:szCs w:val="22"/>
        </w:rPr>
        <w:t xml:space="preserve">Gilbert, J. (2018) </w:t>
      </w:r>
      <w:r w:rsidRPr="00A044F5">
        <w:rPr>
          <w:sz w:val="22"/>
          <w:szCs w:val="22"/>
        </w:rPr>
        <w:t>Natural Resources and Human Rights: An Appraisal</w:t>
      </w:r>
      <w:r>
        <w:rPr>
          <w:sz w:val="22"/>
          <w:szCs w:val="22"/>
        </w:rPr>
        <w:t>. Oxford: Oxford University Press.</w:t>
      </w:r>
      <w:r w:rsidR="00874A30">
        <w:rPr>
          <w:sz w:val="22"/>
          <w:szCs w:val="22"/>
        </w:rPr>
        <w:t xml:space="preserve"> </w:t>
      </w:r>
    </w:p>
    <w:p w14:paraId="23A3291D" w14:textId="1EB01D95" w:rsidR="00632DAD" w:rsidRPr="001B5931" w:rsidRDefault="00632DAD">
      <w:pPr>
        <w:rPr>
          <w:sz w:val="22"/>
          <w:szCs w:val="22"/>
        </w:rPr>
      </w:pPr>
      <w:proofErr w:type="spellStart"/>
      <w:r w:rsidRPr="001B5931">
        <w:rPr>
          <w:sz w:val="22"/>
          <w:szCs w:val="22"/>
        </w:rPr>
        <w:t>Renard</w:t>
      </w:r>
      <w:proofErr w:type="spellEnd"/>
      <w:r w:rsidRPr="001B5931">
        <w:rPr>
          <w:sz w:val="22"/>
          <w:szCs w:val="22"/>
        </w:rPr>
        <w:t xml:space="preserve">, Y et al. </w:t>
      </w:r>
      <w:r w:rsidR="00A044F5">
        <w:rPr>
          <w:sz w:val="22"/>
          <w:szCs w:val="22"/>
        </w:rPr>
        <w:t>(</w:t>
      </w:r>
      <w:r w:rsidRPr="001B5931">
        <w:rPr>
          <w:sz w:val="22"/>
          <w:szCs w:val="22"/>
        </w:rPr>
        <w:t>2007</w:t>
      </w:r>
      <w:r w:rsidR="00A044F5">
        <w:rPr>
          <w:sz w:val="22"/>
          <w:szCs w:val="22"/>
        </w:rPr>
        <w:t>)</w:t>
      </w:r>
      <w:r w:rsidRPr="001B5931">
        <w:rPr>
          <w:sz w:val="22"/>
          <w:szCs w:val="22"/>
        </w:rPr>
        <w:t xml:space="preserve"> </w:t>
      </w:r>
      <w:r w:rsidRPr="00A044F5">
        <w:rPr>
          <w:i/>
          <w:iCs/>
          <w:sz w:val="22"/>
          <w:szCs w:val="22"/>
        </w:rPr>
        <w:t>Sharing Power – Learning by Doing in Co-</w:t>
      </w:r>
      <w:r w:rsidR="00AD4763" w:rsidRPr="00A044F5">
        <w:rPr>
          <w:i/>
          <w:iCs/>
          <w:sz w:val="22"/>
          <w:szCs w:val="22"/>
        </w:rPr>
        <w:t>M</w:t>
      </w:r>
      <w:r w:rsidRPr="00A044F5">
        <w:rPr>
          <w:i/>
          <w:iCs/>
          <w:sz w:val="22"/>
          <w:szCs w:val="22"/>
        </w:rPr>
        <w:t>anagement of Natural Resources throughout the World</w:t>
      </w:r>
      <w:r w:rsidRPr="001B5931">
        <w:rPr>
          <w:sz w:val="22"/>
          <w:szCs w:val="22"/>
        </w:rPr>
        <w:t>.</w:t>
      </w:r>
      <w:r w:rsidR="00AD4763" w:rsidRPr="001B5931">
        <w:rPr>
          <w:sz w:val="22"/>
          <w:szCs w:val="22"/>
        </w:rPr>
        <w:t xml:space="preserve"> London</w:t>
      </w:r>
      <w:r w:rsidR="00A044F5">
        <w:rPr>
          <w:sz w:val="22"/>
          <w:szCs w:val="22"/>
        </w:rPr>
        <w:t>:</w:t>
      </w:r>
      <w:r w:rsidR="00AD4763" w:rsidRPr="001B5931">
        <w:rPr>
          <w:sz w:val="22"/>
          <w:szCs w:val="22"/>
        </w:rPr>
        <w:t xml:space="preserve"> </w:t>
      </w:r>
      <w:proofErr w:type="spellStart"/>
      <w:r w:rsidR="00AD4763" w:rsidRPr="001B5931">
        <w:rPr>
          <w:sz w:val="22"/>
          <w:szCs w:val="22"/>
        </w:rPr>
        <w:t>Earth</w:t>
      </w:r>
      <w:r w:rsidR="001D2740">
        <w:rPr>
          <w:sz w:val="22"/>
          <w:szCs w:val="22"/>
        </w:rPr>
        <w:t>s</w:t>
      </w:r>
      <w:r w:rsidR="00AD4763" w:rsidRPr="001B5931">
        <w:rPr>
          <w:sz w:val="22"/>
          <w:szCs w:val="22"/>
        </w:rPr>
        <w:t>can</w:t>
      </w:r>
      <w:proofErr w:type="spellEnd"/>
      <w:r w:rsidR="00A044F5">
        <w:rPr>
          <w:sz w:val="22"/>
          <w:szCs w:val="22"/>
        </w:rPr>
        <w:t>.</w:t>
      </w:r>
    </w:p>
    <w:p w14:paraId="456D02FE" w14:textId="6B9A1057" w:rsidR="00632DAD" w:rsidRPr="001B5931" w:rsidRDefault="00A70BCA">
      <w:pPr>
        <w:rPr>
          <w:b/>
          <w:bCs/>
          <w:sz w:val="22"/>
          <w:szCs w:val="22"/>
        </w:rPr>
      </w:pPr>
      <w:r w:rsidRPr="001B5931">
        <w:rPr>
          <w:bCs/>
          <w:sz w:val="22"/>
          <w:szCs w:val="22"/>
        </w:rPr>
        <w:t>United Nations, List of Protected Areas</w:t>
      </w:r>
      <w:r w:rsidR="000823CF">
        <w:rPr>
          <w:bCs/>
          <w:sz w:val="22"/>
          <w:szCs w:val="22"/>
        </w:rPr>
        <w:t xml:space="preserve"> – </w:t>
      </w:r>
      <w:r w:rsidRPr="001B5931">
        <w:rPr>
          <w:bCs/>
          <w:sz w:val="22"/>
          <w:szCs w:val="22"/>
        </w:rPr>
        <w:t>200</w:t>
      </w:r>
      <w:r w:rsidR="00632DAD" w:rsidRPr="001B5931">
        <w:rPr>
          <w:bCs/>
          <w:sz w:val="22"/>
          <w:szCs w:val="22"/>
        </w:rPr>
        <w:t>9</w:t>
      </w:r>
      <w:r w:rsidRPr="001B5931">
        <w:rPr>
          <w:bCs/>
          <w:sz w:val="22"/>
          <w:szCs w:val="22"/>
        </w:rPr>
        <w:t xml:space="preserve">. World Conservation Monitoring Centre </w:t>
      </w:r>
      <w:hyperlink r:id="rId19" w:history="1">
        <w:r w:rsidRPr="001B5931">
          <w:rPr>
            <w:rStyle w:val="Hyperlink"/>
            <w:bCs/>
            <w:sz w:val="22"/>
            <w:szCs w:val="22"/>
          </w:rPr>
          <w:t>www.unep-wcmc.org/protected</w:t>
        </w:r>
      </w:hyperlink>
      <w:r w:rsidRPr="001B5931">
        <w:rPr>
          <w:bCs/>
          <w:sz w:val="22"/>
          <w:szCs w:val="22"/>
        </w:rPr>
        <w:t xml:space="preserve"> areas/</w:t>
      </w:r>
      <w:proofErr w:type="spellStart"/>
      <w:r w:rsidRPr="001B5931">
        <w:rPr>
          <w:bCs/>
          <w:sz w:val="22"/>
          <w:szCs w:val="22"/>
        </w:rPr>
        <w:t>UN_list</w:t>
      </w:r>
      <w:proofErr w:type="spellEnd"/>
      <w:r w:rsidRPr="001B5931">
        <w:rPr>
          <w:bCs/>
          <w:sz w:val="22"/>
          <w:szCs w:val="22"/>
        </w:rPr>
        <w:t>.</w:t>
      </w:r>
      <w:r w:rsidR="009F1D48" w:rsidRPr="001B5931">
        <w:rPr>
          <w:b/>
          <w:bCs/>
          <w:sz w:val="22"/>
          <w:szCs w:val="22"/>
        </w:rPr>
        <w:t xml:space="preserve"> </w:t>
      </w:r>
    </w:p>
    <w:p w14:paraId="29E3EB29" w14:textId="00CE1E4D" w:rsidR="00A044F5" w:rsidRDefault="00632DAD">
      <w:pPr>
        <w:rPr>
          <w:b/>
          <w:bCs/>
        </w:rPr>
      </w:pPr>
      <w:r w:rsidRPr="001B5931">
        <w:rPr>
          <w:bCs/>
          <w:sz w:val="22"/>
          <w:szCs w:val="22"/>
        </w:rPr>
        <w:t xml:space="preserve">West, P, J. </w:t>
      </w:r>
      <w:proofErr w:type="spellStart"/>
      <w:r w:rsidRPr="001B5931">
        <w:rPr>
          <w:bCs/>
          <w:sz w:val="22"/>
          <w:szCs w:val="22"/>
        </w:rPr>
        <w:t>Igoe</w:t>
      </w:r>
      <w:proofErr w:type="spellEnd"/>
      <w:r w:rsidRPr="001B5931">
        <w:rPr>
          <w:bCs/>
          <w:sz w:val="22"/>
          <w:szCs w:val="22"/>
        </w:rPr>
        <w:t xml:space="preserve">, and D. </w:t>
      </w:r>
      <w:proofErr w:type="spellStart"/>
      <w:r w:rsidRPr="001B5931">
        <w:rPr>
          <w:bCs/>
          <w:sz w:val="22"/>
          <w:szCs w:val="22"/>
        </w:rPr>
        <w:t>Brockington</w:t>
      </w:r>
      <w:proofErr w:type="spellEnd"/>
      <w:r w:rsidRPr="001B5931">
        <w:rPr>
          <w:bCs/>
          <w:sz w:val="22"/>
          <w:szCs w:val="22"/>
        </w:rPr>
        <w:t xml:space="preserve"> (2006) “Parks and Peoples: </w:t>
      </w:r>
      <w:r w:rsidR="00FB6015" w:rsidRPr="001B5931">
        <w:rPr>
          <w:bCs/>
          <w:sz w:val="22"/>
          <w:szCs w:val="22"/>
        </w:rPr>
        <w:t>The</w:t>
      </w:r>
      <w:r w:rsidRPr="001B5931">
        <w:rPr>
          <w:bCs/>
          <w:sz w:val="22"/>
          <w:szCs w:val="22"/>
        </w:rPr>
        <w:t xml:space="preserve"> Social Impact of Protected Areas” in </w:t>
      </w:r>
      <w:r w:rsidRPr="00A044F5">
        <w:rPr>
          <w:bCs/>
          <w:i/>
          <w:iCs/>
          <w:sz w:val="22"/>
          <w:szCs w:val="22"/>
        </w:rPr>
        <w:t xml:space="preserve">Annual </w:t>
      </w:r>
      <w:r w:rsidR="00A044F5">
        <w:rPr>
          <w:bCs/>
          <w:i/>
          <w:iCs/>
          <w:sz w:val="22"/>
          <w:szCs w:val="22"/>
        </w:rPr>
        <w:t>R</w:t>
      </w:r>
      <w:r w:rsidRPr="00A044F5">
        <w:rPr>
          <w:bCs/>
          <w:i/>
          <w:iCs/>
          <w:sz w:val="22"/>
          <w:szCs w:val="22"/>
        </w:rPr>
        <w:t>eview of Anthropology</w:t>
      </w:r>
      <w:r w:rsidRPr="001B5931">
        <w:rPr>
          <w:bCs/>
          <w:sz w:val="22"/>
          <w:szCs w:val="22"/>
        </w:rPr>
        <w:t>, 35:251</w:t>
      </w:r>
      <w:r w:rsidR="001D2740">
        <w:rPr>
          <w:bCs/>
          <w:sz w:val="22"/>
          <w:szCs w:val="22"/>
        </w:rPr>
        <w:t>–2</w:t>
      </w:r>
      <w:r w:rsidRPr="001B5931">
        <w:rPr>
          <w:bCs/>
          <w:sz w:val="22"/>
          <w:szCs w:val="22"/>
        </w:rPr>
        <w:t>77.</w:t>
      </w:r>
      <w:r>
        <w:rPr>
          <w:b/>
          <w:bCs/>
        </w:rPr>
        <w:t xml:space="preserve"> </w:t>
      </w:r>
    </w:p>
    <w:p w14:paraId="456B8189" w14:textId="48552E6D" w:rsidR="00A044F5" w:rsidRDefault="00A044F5" w:rsidP="00A044F5">
      <w:pPr>
        <w:tabs>
          <w:tab w:val="left" w:pos="4935"/>
        </w:tabs>
        <w:rPr>
          <w:b/>
          <w:bCs/>
        </w:rPr>
      </w:pPr>
      <w:r>
        <w:rPr>
          <w:b/>
          <w:bCs/>
        </w:rPr>
        <w:tab/>
      </w:r>
    </w:p>
    <w:p w14:paraId="0218B2BA" w14:textId="2A457378" w:rsidR="009F1D48" w:rsidRDefault="009F1D48" w:rsidP="000823CF">
      <w:pPr>
        <w:outlineLvl w:val="0"/>
        <w:rPr>
          <w:lang w:eastAsia="en-GB"/>
        </w:rPr>
      </w:pPr>
      <w:r w:rsidRPr="00A044F5">
        <w:br w:type="page"/>
      </w:r>
      <w:r>
        <w:rPr>
          <w:b/>
          <w:bCs/>
          <w:iCs/>
        </w:rPr>
        <w:lastRenderedPageBreak/>
        <w:t>Annex:</w:t>
      </w:r>
      <w:r>
        <w:rPr>
          <w:iCs/>
        </w:rPr>
        <w:t xml:space="preserve"> </w:t>
      </w:r>
      <w:r>
        <w:rPr>
          <w:b/>
          <w:lang w:eastAsia="en-GB"/>
        </w:rPr>
        <w:t>Dana Declaration on Mobile Peoples and Conservation</w:t>
      </w:r>
      <w:r>
        <w:rPr>
          <w:lang w:eastAsia="en-GB"/>
        </w:rPr>
        <w:t xml:space="preserve"> </w:t>
      </w:r>
    </w:p>
    <w:p w14:paraId="088D44FE" w14:textId="77777777" w:rsidR="009F1D48" w:rsidRDefault="009F1D48">
      <w:pPr>
        <w:pStyle w:val="Title"/>
        <w:jc w:val="left"/>
        <w:outlineLvl w:val="0"/>
        <w:rPr>
          <w:rFonts w:ascii="Arial" w:hAnsi="Arial"/>
          <w:sz w:val="22"/>
          <w:szCs w:val="22"/>
          <w:lang w:val="en-GB" w:eastAsia="en-GB"/>
        </w:rPr>
      </w:pPr>
    </w:p>
    <w:p w14:paraId="2E9C7954" w14:textId="77777777" w:rsidR="009F1D48" w:rsidRDefault="009F1D48">
      <w:pPr>
        <w:widowControl w:val="0"/>
        <w:autoSpaceDE w:val="0"/>
        <w:autoSpaceDN w:val="0"/>
        <w:adjustRightInd w:val="0"/>
        <w:jc w:val="both"/>
        <w:rPr>
          <w:rFonts w:ascii="Arial" w:hAnsi="Arial"/>
          <w:sz w:val="22"/>
          <w:szCs w:val="22"/>
          <w:lang w:eastAsia="en-GB"/>
        </w:rPr>
      </w:pPr>
    </w:p>
    <w:p w14:paraId="43E746B3" w14:textId="77777777" w:rsidR="009F1D48" w:rsidRDefault="009F1D48">
      <w:pPr>
        <w:widowControl w:val="0"/>
        <w:autoSpaceDE w:val="0"/>
        <w:autoSpaceDN w:val="0"/>
        <w:adjustRightInd w:val="0"/>
        <w:jc w:val="both"/>
        <w:rPr>
          <w:rFonts w:ascii="Arial" w:hAnsi="Arial"/>
          <w:i/>
          <w:iCs/>
          <w:sz w:val="22"/>
          <w:szCs w:val="22"/>
          <w:lang w:eastAsia="en-GB"/>
        </w:rPr>
      </w:pPr>
      <w:r>
        <w:rPr>
          <w:rFonts w:ascii="Arial" w:hAnsi="Arial"/>
          <w:i/>
          <w:iCs/>
          <w:sz w:val="22"/>
          <w:szCs w:val="22"/>
          <w:lang w:eastAsia="en-GB"/>
        </w:rPr>
        <w:t xml:space="preserve">A group of concerned professionals including social and natural scientists from all regions of the world met in </w:t>
      </w:r>
      <w:proofErr w:type="spellStart"/>
      <w:r>
        <w:rPr>
          <w:rFonts w:ascii="Arial" w:hAnsi="Arial"/>
          <w:i/>
          <w:iCs/>
          <w:sz w:val="22"/>
          <w:szCs w:val="22"/>
          <w:lang w:eastAsia="en-GB"/>
        </w:rPr>
        <w:t>Wadi</w:t>
      </w:r>
      <w:proofErr w:type="spellEnd"/>
      <w:r>
        <w:rPr>
          <w:rFonts w:ascii="Arial" w:hAnsi="Arial"/>
          <w:i/>
          <w:iCs/>
          <w:sz w:val="22"/>
          <w:szCs w:val="22"/>
          <w:lang w:eastAsia="en-GB"/>
        </w:rPr>
        <w:t xml:space="preserve"> Dana Nature Reserve, Jordan, 3-7 April 2002, to consider a comprehensive approach to mobile peoples</w:t>
      </w:r>
      <w:r>
        <w:rPr>
          <w:rStyle w:val="FootnoteReference"/>
          <w:i/>
        </w:rPr>
        <w:footnoteReference w:id="2"/>
      </w:r>
      <w:r>
        <w:rPr>
          <w:rFonts w:ascii="Arial" w:hAnsi="Arial"/>
          <w:i/>
          <w:iCs/>
          <w:sz w:val="22"/>
          <w:szCs w:val="22"/>
          <w:lang w:eastAsia="en-GB"/>
        </w:rPr>
        <w:t xml:space="preserve"> and conservation. At the end of this meeting, they agreed the following declaration:</w:t>
      </w:r>
    </w:p>
    <w:p w14:paraId="1A901EA7" w14:textId="77777777" w:rsidR="009F1D48" w:rsidRDefault="009F1D48">
      <w:pPr>
        <w:widowControl w:val="0"/>
        <w:autoSpaceDE w:val="0"/>
        <w:autoSpaceDN w:val="0"/>
        <w:adjustRightInd w:val="0"/>
        <w:jc w:val="both"/>
        <w:rPr>
          <w:rFonts w:ascii="Arial" w:hAnsi="Arial"/>
          <w:i/>
          <w:iCs/>
          <w:sz w:val="22"/>
          <w:szCs w:val="22"/>
          <w:lang w:eastAsia="en-GB"/>
        </w:rPr>
      </w:pPr>
    </w:p>
    <w:p w14:paraId="25F4B1C1" w14:textId="77777777" w:rsidR="009F1D48" w:rsidRDefault="009F1D48">
      <w:pPr>
        <w:pStyle w:val="BodyText2"/>
        <w:widowControl w:val="0"/>
        <w:autoSpaceDE w:val="0"/>
        <w:autoSpaceDN w:val="0"/>
        <w:adjustRightInd w:val="0"/>
        <w:rPr>
          <w:lang w:eastAsia="en-GB"/>
        </w:rPr>
      </w:pPr>
      <w:r>
        <w:rPr>
          <w:lang w:eastAsia="en-GB"/>
        </w:rPr>
        <w:t>The world faces unprecedented threats to the conservation and sustainable use of its biodiversity. At the same time, its cultural and linguistic diversity, which includes an immeasurable and irreplaceable range of knowledge and skills, is being lost at an alarming rate.</w:t>
      </w:r>
    </w:p>
    <w:p w14:paraId="3753FEB9" w14:textId="77777777" w:rsidR="009F1D48" w:rsidRDefault="009F1D48">
      <w:pPr>
        <w:widowControl w:val="0"/>
        <w:autoSpaceDE w:val="0"/>
        <w:autoSpaceDN w:val="0"/>
        <w:adjustRightInd w:val="0"/>
        <w:jc w:val="both"/>
        <w:rPr>
          <w:rFonts w:ascii="Arial" w:hAnsi="Arial"/>
          <w:sz w:val="22"/>
          <w:szCs w:val="22"/>
          <w:lang w:eastAsia="en-GB"/>
        </w:rPr>
      </w:pPr>
    </w:p>
    <w:p w14:paraId="2C5FCF3B" w14:textId="77777777" w:rsidR="009F1D48" w:rsidRDefault="009F1D48">
      <w:pPr>
        <w:widowControl w:val="0"/>
        <w:autoSpaceDE w:val="0"/>
        <w:autoSpaceDN w:val="0"/>
        <w:adjustRightInd w:val="0"/>
        <w:jc w:val="both"/>
        <w:rPr>
          <w:rFonts w:ascii="Arial" w:hAnsi="Arial"/>
          <w:sz w:val="22"/>
          <w:szCs w:val="22"/>
          <w:lang w:eastAsia="en-GB"/>
        </w:rPr>
      </w:pPr>
      <w:r>
        <w:rPr>
          <w:rFonts w:ascii="Arial" w:hAnsi="Arial"/>
          <w:sz w:val="22"/>
          <w:szCs w:val="22"/>
          <w:lang w:eastAsia="en-GB"/>
        </w:rPr>
        <w:t xml:space="preserve">The linked pressures of human population dynamics, unsustainable consumption patterns, climate change and global and national economic forces threaten both the conservation of biological resources and the livelihoods of many indigenous and traditional peoples. In particular, mobile peoples now find themselves constrained by forces beyond their control, which put them at a special disadvantage. </w:t>
      </w:r>
    </w:p>
    <w:p w14:paraId="729DE3F8" w14:textId="77777777" w:rsidR="009F1D48" w:rsidRDefault="009F1D48">
      <w:pPr>
        <w:widowControl w:val="0"/>
        <w:autoSpaceDE w:val="0"/>
        <w:autoSpaceDN w:val="0"/>
        <w:adjustRightInd w:val="0"/>
        <w:jc w:val="both"/>
        <w:rPr>
          <w:rFonts w:ascii="Arial" w:hAnsi="Arial"/>
          <w:sz w:val="22"/>
          <w:szCs w:val="22"/>
          <w:lang w:eastAsia="en-GB"/>
        </w:rPr>
      </w:pPr>
    </w:p>
    <w:p w14:paraId="2E3FA39F" w14:textId="77777777" w:rsidR="009F1D48" w:rsidRDefault="009F1D48">
      <w:pPr>
        <w:widowControl w:val="0"/>
        <w:autoSpaceDE w:val="0"/>
        <w:autoSpaceDN w:val="0"/>
        <w:adjustRightInd w:val="0"/>
        <w:jc w:val="both"/>
        <w:rPr>
          <w:rFonts w:ascii="Arial" w:hAnsi="Arial"/>
          <w:sz w:val="22"/>
          <w:szCs w:val="22"/>
          <w:lang w:eastAsia="en-GB"/>
        </w:rPr>
      </w:pPr>
      <w:r>
        <w:rPr>
          <w:rFonts w:ascii="Arial" w:hAnsi="Arial"/>
          <w:sz w:val="22"/>
          <w:szCs w:val="22"/>
          <w:lang w:eastAsia="en-GB"/>
        </w:rPr>
        <w:t xml:space="preserve">Mobile peoples are discriminated against. Their rights, including rights of access to natural resources, are often denied and conventional conservation practices insufficiently address their concerns. These factors, together with the pace of global change, undermine their lifestyles, reduce their ability to live in balance with nature and threaten their very existence as distinct peoples. </w:t>
      </w:r>
    </w:p>
    <w:p w14:paraId="5A74CE6C" w14:textId="77777777" w:rsidR="009F1D48" w:rsidRDefault="009F1D48">
      <w:pPr>
        <w:widowControl w:val="0"/>
        <w:autoSpaceDE w:val="0"/>
        <w:autoSpaceDN w:val="0"/>
        <w:adjustRightInd w:val="0"/>
        <w:jc w:val="both"/>
        <w:rPr>
          <w:rFonts w:ascii="Arial" w:hAnsi="Arial"/>
          <w:sz w:val="22"/>
          <w:szCs w:val="22"/>
          <w:lang w:eastAsia="en-GB"/>
        </w:rPr>
      </w:pPr>
    </w:p>
    <w:p w14:paraId="4E1FDFE6" w14:textId="4AC47056" w:rsidR="009F1D48" w:rsidRDefault="009F1D48">
      <w:pPr>
        <w:widowControl w:val="0"/>
        <w:autoSpaceDE w:val="0"/>
        <w:autoSpaceDN w:val="0"/>
        <w:adjustRightInd w:val="0"/>
        <w:jc w:val="both"/>
        <w:rPr>
          <w:rFonts w:ascii="Arial" w:hAnsi="Arial"/>
          <w:sz w:val="22"/>
          <w:szCs w:val="22"/>
          <w:lang w:eastAsia="en-GB"/>
        </w:rPr>
      </w:pPr>
      <w:r>
        <w:rPr>
          <w:rFonts w:ascii="Arial" w:hAnsi="Arial"/>
          <w:sz w:val="22"/>
          <w:szCs w:val="22"/>
          <w:lang w:eastAsia="en-GB"/>
        </w:rPr>
        <w:t xml:space="preserve">Nonetheless, through their traditional resource use practices and culture-based respect for nature, many mobile peoples are still making a significant contribution to the maintenance of the earth’s ecosystems, species and genetic diversity – even though this often goes unrecognised. </w:t>
      </w:r>
      <w:r w:rsidR="0021788F">
        <w:rPr>
          <w:rFonts w:ascii="Arial" w:hAnsi="Arial"/>
          <w:sz w:val="22"/>
          <w:szCs w:val="22"/>
          <w:lang w:eastAsia="en-GB"/>
        </w:rPr>
        <w:t>Thus,</w:t>
      </w:r>
      <w:r>
        <w:rPr>
          <w:rFonts w:ascii="Arial" w:hAnsi="Arial"/>
          <w:sz w:val="22"/>
          <w:szCs w:val="22"/>
          <w:lang w:eastAsia="en-GB"/>
        </w:rPr>
        <w:t xml:space="preserve"> the interests of mobile peoples and conservation converge, especially as they face a number of common challenges. There is therefore an urgent need to create a mutually reinforcing partnership between mobile peoples and those involved with conservation.</w:t>
      </w:r>
    </w:p>
    <w:p w14:paraId="37DD4C27" w14:textId="77777777" w:rsidR="009F1D48" w:rsidRDefault="009F1D48">
      <w:pPr>
        <w:widowControl w:val="0"/>
        <w:autoSpaceDE w:val="0"/>
        <w:autoSpaceDN w:val="0"/>
        <w:adjustRightInd w:val="0"/>
        <w:jc w:val="both"/>
        <w:rPr>
          <w:rFonts w:ascii="Arial" w:hAnsi="Arial"/>
          <w:sz w:val="22"/>
          <w:szCs w:val="22"/>
          <w:lang w:eastAsia="en-GB"/>
        </w:rPr>
      </w:pPr>
    </w:p>
    <w:p w14:paraId="3FBF4697" w14:textId="77777777" w:rsidR="009F1D48" w:rsidRDefault="009F1D48">
      <w:pPr>
        <w:widowControl w:val="0"/>
        <w:autoSpaceDE w:val="0"/>
        <w:autoSpaceDN w:val="0"/>
        <w:adjustRightInd w:val="0"/>
        <w:jc w:val="both"/>
        <w:outlineLvl w:val="0"/>
        <w:rPr>
          <w:rFonts w:ascii="Arial" w:hAnsi="Arial"/>
          <w:sz w:val="22"/>
          <w:szCs w:val="22"/>
          <w:lang w:eastAsia="en-GB"/>
        </w:rPr>
      </w:pPr>
      <w:r>
        <w:rPr>
          <w:rFonts w:ascii="Arial" w:hAnsi="Arial"/>
          <w:sz w:val="22"/>
          <w:szCs w:val="22"/>
          <w:lang w:eastAsia="en-GB"/>
        </w:rPr>
        <w:t>In the light of this understanding, we commit ourselves to promoting conservation practices based on the following principles:</w:t>
      </w:r>
    </w:p>
    <w:p w14:paraId="2803E134" w14:textId="77777777" w:rsidR="009F1D48" w:rsidRDefault="009F1D48">
      <w:pPr>
        <w:widowControl w:val="0"/>
        <w:autoSpaceDE w:val="0"/>
        <w:autoSpaceDN w:val="0"/>
        <w:adjustRightInd w:val="0"/>
        <w:jc w:val="both"/>
        <w:rPr>
          <w:rFonts w:ascii="Arial" w:hAnsi="Arial"/>
          <w:sz w:val="22"/>
          <w:szCs w:val="22"/>
          <w:lang w:eastAsia="en-GB"/>
        </w:rPr>
      </w:pPr>
    </w:p>
    <w:p w14:paraId="37E35345" w14:textId="77777777" w:rsidR="009F1D48" w:rsidRDefault="009F1D48">
      <w:pPr>
        <w:widowControl w:val="0"/>
        <w:autoSpaceDE w:val="0"/>
        <w:autoSpaceDN w:val="0"/>
        <w:adjustRightInd w:val="0"/>
        <w:jc w:val="both"/>
        <w:rPr>
          <w:rFonts w:ascii="Arial" w:hAnsi="Arial"/>
          <w:sz w:val="22"/>
          <w:szCs w:val="22"/>
          <w:lang w:eastAsia="en-GB"/>
        </w:rPr>
      </w:pPr>
    </w:p>
    <w:p w14:paraId="26FE4D91" w14:textId="77777777" w:rsidR="009F1D48" w:rsidRDefault="009F1D48" w:rsidP="000823CF">
      <w:pPr>
        <w:jc w:val="both"/>
        <w:outlineLvl w:val="0"/>
        <w:rPr>
          <w:rFonts w:ascii="Arial" w:hAnsi="Arial"/>
          <w:sz w:val="22"/>
          <w:szCs w:val="22"/>
          <w:lang w:eastAsia="en-GB"/>
        </w:rPr>
      </w:pPr>
      <w:r>
        <w:rPr>
          <w:rFonts w:ascii="Arial" w:hAnsi="Arial"/>
          <w:sz w:val="22"/>
          <w:szCs w:val="22"/>
          <w:lang w:eastAsia="en-GB"/>
        </w:rPr>
        <w:t>PRINCIPLE 1. RIGHTS AND EMPOWERMENT</w:t>
      </w:r>
    </w:p>
    <w:p w14:paraId="04F282CE" w14:textId="77777777" w:rsidR="009F1D48" w:rsidRDefault="009F1D48">
      <w:pPr>
        <w:jc w:val="both"/>
        <w:outlineLvl w:val="0"/>
        <w:rPr>
          <w:rFonts w:ascii="Arial" w:hAnsi="Arial"/>
          <w:sz w:val="22"/>
          <w:szCs w:val="22"/>
          <w:lang w:eastAsia="en-GB"/>
        </w:rPr>
      </w:pPr>
    </w:p>
    <w:p w14:paraId="6690C51E" w14:textId="77777777" w:rsidR="009F1D48" w:rsidRDefault="009F1D48">
      <w:pPr>
        <w:jc w:val="both"/>
        <w:rPr>
          <w:rFonts w:ascii="Arial" w:hAnsi="Arial"/>
          <w:sz w:val="22"/>
          <w:szCs w:val="22"/>
          <w:lang w:eastAsia="en-GB"/>
        </w:rPr>
      </w:pPr>
      <w:r>
        <w:rPr>
          <w:rFonts w:ascii="Arial" w:hAnsi="Arial"/>
          <w:sz w:val="22"/>
          <w:szCs w:val="22"/>
          <w:lang w:eastAsia="en-GB"/>
        </w:rPr>
        <w:t>Conservation approaches with potential impact on mobile peoples and their natural resources must recognise mobile peoples’ rights, management responsibilities and capacities, and should lead to effective empowerment. These rights include:</w:t>
      </w:r>
    </w:p>
    <w:p w14:paraId="5AE6F726" w14:textId="77777777" w:rsidR="009F1D48" w:rsidRDefault="009F1D48">
      <w:pPr>
        <w:jc w:val="both"/>
        <w:rPr>
          <w:rFonts w:ascii="Arial" w:hAnsi="Arial"/>
          <w:sz w:val="22"/>
          <w:szCs w:val="22"/>
          <w:lang w:eastAsia="en-GB"/>
        </w:rPr>
      </w:pPr>
    </w:p>
    <w:p w14:paraId="69A4522E" w14:textId="11CBDC79" w:rsidR="009F1D48" w:rsidRDefault="009F1D48">
      <w:pPr>
        <w:numPr>
          <w:ilvl w:val="1"/>
          <w:numId w:val="5"/>
        </w:numPr>
        <w:jc w:val="both"/>
        <w:rPr>
          <w:rFonts w:ascii="Arial" w:hAnsi="Arial"/>
          <w:sz w:val="22"/>
          <w:szCs w:val="22"/>
          <w:lang w:eastAsia="en-GB"/>
        </w:rPr>
      </w:pPr>
      <w:r>
        <w:rPr>
          <w:rFonts w:ascii="Arial" w:hAnsi="Arial"/>
          <w:sz w:val="22"/>
          <w:szCs w:val="22"/>
          <w:lang w:eastAsia="en-GB"/>
        </w:rPr>
        <w:t xml:space="preserve">Human rights: civil, political, social, economic and </w:t>
      </w:r>
      <w:r w:rsidR="0021788F">
        <w:rPr>
          <w:rFonts w:ascii="Arial" w:hAnsi="Arial"/>
          <w:sz w:val="22"/>
          <w:szCs w:val="22"/>
          <w:lang w:eastAsia="en-GB"/>
        </w:rPr>
        <w:t>cultural.</w:t>
      </w:r>
    </w:p>
    <w:p w14:paraId="5FF1A5B2" w14:textId="023371F6" w:rsidR="009F1D48" w:rsidRDefault="009F1D48">
      <w:pPr>
        <w:numPr>
          <w:ilvl w:val="1"/>
          <w:numId w:val="5"/>
        </w:numPr>
        <w:jc w:val="both"/>
        <w:rPr>
          <w:rFonts w:ascii="Arial" w:hAnsi="Arial"/>
          <w:sz w:val="22"/>
          <w:szCs w:val="22"/>
          <w:lang w:eastAsia="en-GB"/>
        </w:rPr>
      </w:pPr>
      <w:r>
        <w:rPr>
          <w:rFonts w:ascii="Arial" w:hAnsi="Arial"/>
          <w:sz w:val="22"/>
          <w:szCs w:val="22"/>
          <w:lang w:eastAsia="en-GB"/>
        </w:rPr>
        <w:t xml:space="preserve">Land and resource rights, including those under customary </w:t>
      </w:r>
      <w:r w:rsidR="0021788F">
        <w:rPr>
          <w:rFonts w:ascii="Arial" w:hAnsi="Arial"/>
          <w:sz w:val="22"/>
          <w:szCs w:val="22"/>
          <w:lang w:eastAsia="en-GB"/>
        </w:rPr>
        <w:t>law.</w:t>
      </w:r>
    </w:p>
    <w:p w14:paraId="546E8896" w14:textId="0C5DADB6" w:rsidR="009F1D48" w:rsidRDefault="009F1D48">
      <w:pPr>
        <w:numPr>
          <w:ilvl w:val="1"/>
          <w:numId w:val="5"/>
        </w:numPr>
        <w:jc w:val="both"/>
        <w:rPr>
          <w:rFonts w:ascii="Arial" w:hAnsi="Arial"/>
          <w:sz w:val="22"/>
          <w:szCs w:val="22"/>
          <w:lang w:eastAsia="en-GB"/>
        </w:rPr>
      </w:pPr>
      <w:r>
        <w:rPr>
          <w:rFonts w:ascii="Arial" w:hAnsi="Arial"/>
          <w:sz w:val="22"/>
          <w:szCs w:val="22"/>
          <w:lang w:eastAsia="en-GB"/>
        </w:rPr>
        <w:t xml:space="preserve">Cultural and intellectual property </w:t>
      </w:r>
      <w:r w:rsidR="0021788F">
        <w:rPr>
          <w:rFonts w:ascii="Arial" w:hAnsi="Arial"/>
          <w:sz w:val="22"/>
          <w:szCs w:val="22"/>
          <w:lang w:eastAsia="en-GB"/>
        </w:rPr>
        <w:t>rights.</w:t>
      </w:r>
    </w:p>
    <w:p w14:paraId="2F7AC40D" w14:textId="19B7D088" w:rsidR="009F1D48" w:rsidRDefault="009F1D48">
      <w:pPr>
        <w:numPr>
          <w:ilvl w:val="1"/>
          <w:numId w:val="5"/>
        </w:numPr>
        <w:jc w:val="both"/>
        <w:rPr>
          <w:rFonts w:ascii="Arial" w:hAnsi="Arial"/>
          <w:sz w:val="22"/>
          <w:szCs w:val="22"/>
          <w:lang w:eastAsia="en-GB"/>
        </w:rPr>
      </w:pPr>
      <w:r>
        <w:rPr>
          <w:rFonts w:ascii="Arial" w:hAnsi="Arial"/>
          <w:sz w:val="22"/>
          <w:szCs w:val="22"/>
          <w:lang w:eastAsia="en-GB"/>
        </w:rPr>
        <w:t xml:space="preserve">The right to full participation in decision-making and relevant negotiation processes at different </w:t>
      </w:r>
      <w:r w:rsidR="0021788F">
        <w:rPr>
          <w:rFonts w:ascii="Arial" w:hAnsi="Arial"/>
          <w:sz w:val="22"/>
          <w:szCs w:val="22"/>
          <w:lang w:eastAsia="en-GB"/>
        </w:rPr>
        <w:t>levels.</w:t>
      </w:r>
    </w:p>
    <w:p w14:paraId="13BFED3C" w14:textId="77777777" w:rsidR="009F1D48" w:rsidRDefault="009F1D48">
      <w:pPr>
        <w:numPr>
          <w:ilvl w:val="1"/>
          <w:numId w:val="5"/>
        </w:numPr>
        <w:jc w:val="both"/>
        <w:rPr>
          <w:rFonts w:ascii="Arial" w:hAnsi="Arial"/>
          <w:sz w:val="22"/>
          <w:szCs w:val="22"/>
          <w:lang w:eastAsia="en-GB"/>
        </w:rPr>
      </w:pPr>
      <w:r>
        <w:rPr>
          <w:rFonts w:ascii="Arial" w:hAnsi="Arial"/>
          <w:sz w:val="22"/>
          <w:szCs w:val="22"/>
          <w:lang w:eastAsia="en-GB"/>
        </w:rPr>
        <w:lastRenderedPageBreak/>
        <w:t>The right to derive equitable benefits from any consumptive or non-consumptive use of local natural resources.</w:t>
      </w:r>
    </w:p>
    <w:p w14:paraId="44FCC75A" w14:textId="77777777" w:rsidR="009F1D48" w:rsidRDefault="009F1D48">
      <w:pPr>
        <w:jc w:val="both"/>
        <w:rPr>
          <w:rFonts w:ascii="Arial" w:hAnsi="Arial"/>
          <w:sz w:val="22"/>
          <w:szCs w:val="22"/>
          <w:lang w:eastAsia="en-GB"/>
        </w:rPr>
      </w:pPr>
    </w:p>
    <w:p w14:paraId="30789626" w14:textId="77777777" w:rsidR="009F1D48" w:rsidRDefault="009F1D48">
      <w:pPr>
        <w:jc w:val="both"/>
        <w:rPr>
          <w:rFonts w:ascii="Arial" w:hAnsi="Arial"/>
          <w:sz w:val="22"/>
          <w:szCs w:val="22"/>
          <w:lang w:eastAsia="en-GB"/>
        </w:rPr>
      </w:pPr>
      <w:r>
        <w:rPr>
          <w:rFonts w:ascii="Arial" w:hAnsi="Arial"/>
          <w:sz w:val="22"/>
          <w:szCs w:val="22"/>
          <w:lang w:eastAsia="en-GB"/>
        </w:rPr>
        <w:t xml:space="preserve">To this end, appropriate legislative reforms should be promoted as needed, at national and international levels. In addition, because mobile peoples often move through different territories, </w:t>
      </w:r>
      <w:proofErr w:type="spellStart"/>
      <w:r>
        <w:rPr>
          <w:rFonts w:ascii="Arial" w:hAnsi="Arial"/>
          <w:sz w:val="22"/>
          <w:szCs w:val="22"/>
          <w:lang w:eastAsia="en-GB"/>
        </w:rPr>
        <w:t>transboundary</w:t>
      </w:r>
      <w:proofErr w:type="spellEnd"/>
      <w:r>
        <w:rPr>
          <w:rFonts w:ascii="Arial" w:hAnsi="Arial"/>
          <w:sz w:val="22"/>
          <w:szCs w:val="22"/>
          <w:lang w:eastAsia="en-GB"/>
        </w:rPr>
        <w:t xml:space="preserve"> co-operation between national authorities may be required.</w:t>
      </w:r>
    </w:p>
    <w:p w14:paraId="1D24EA1A" w14:textId="77777777" w:rsidR="009F1D48" w:rsidRDefault="009F1D48">
      <w:pPr>
        <w:jc w:val="both"/>
        <w:rPr>
          <w:rFonts w:ascii="Arial" w:hAnsi="Arial"/>
          <w:sz w:val="22"/>
          <w:szCs w:val="22"/>
          <w:lang w:eastAsia="en-GB"/>
        </w:rPr>
      </w:pPr>
    </w:p>
    <w:p w14:paraId="2C35A710" w14:textId="746C4B03" w:rsidR="009F1D48" w:rsidRDefault="009F1D48">
      <w:pPr>
        <w:jc w:val="both"/>
        <w:rPr>
          <w:rFonts w:ascii="Arial" w:hAnsi="Arial"/>
          <w:sz w:val="22"/>
          <w:szCs w:val="22"/>
          <w:lang w:eastAsia="en-GB"/>
        </w:rPr>
      </w:pPr>
      <w:r>
        <w:rPr>
          <w:rFonts w:ascii="Arial" w:hAnsi="Arial"/>
          <w:sz w:val="22"/>
          <w:szCs w:val="22"/>
          <w:lang w:eastAsia="en-GB"/>
        </w:rPr>
        <w:t xml:space="preserve">Recognition of mobile peoples’ rights should lead to effective </w:t>
      </w:r>
      <w:r w:rsidR="0021788F">
        <w:rPr>
          <w:rFonts w:ascii="Arial" w:hAnsi="Arial"/>
          <w:sz w:val="22"/>
          <w:szCs w:val="22"/>
          <w:lang w:eastAsia="en-GB"/>
        </w:rPr>
        <w:t>empowerment and</w:t>
      </w:r>
      <w:r>
        <w:rPr>
          <w:rFonts w:ascii="Arial" w:hAnsi="Arial"/>
          <w:sz w:val="22"/>
          <w:szCs w:val="22"/>
          <w:lang w:eastAsia="en-GB"/>
        </w:rPr>
        <w:t xml:space="preserve"> include consideration of gender and age.</w:t>
      </w:r>
    </w:p>
    <w:p w14:paraId="2156CC75" w14:textId="77777777" w:rsidR="009F1D48" w:rsidRDefault="009F1D48">
      <w:pPr>
        <w:jc w:val="both"/>
        <w:outlineLvl w:val="0"/>
        <w:rPr>
          <w:rFonts w:ascii="Arial" w:hAnsi="Arial"/>
          <w:sz w:val="22"/>
          <w:szCs w:val="22"/>
          <w:lang w:eastAsia="en-GB"/>
        </w:rPr>
      </w:pPr>
    </w:p>
    <w:p w14:paraId="19EE6E76" w14:textId="77777777" w:rsidR="009F1D48" w:rsidRDefault="009F1D48">
      <w:pPr>
        <w:jc w:val="both"/>
        <w:outlineLvl w:val="0"/>
        <w:rPr>
          <w:rFonts w:ascii="Arial" w:hAnsi="Arial"/>
          <w:sz w:val="22"/>
          <w:szCs w:val="22"/>
          <w:lang w:eastAsia="en-GB"/>
        </w:rPr>
      </w:pPr>
    </w:p>
    <w:p w14:paraId="6B10630E" w14:textId="77777777" w:rsidR="009F1D48" w:rsidRDefault="009F1D48" w:rsidP="000823CF">
      <w:pPr>
        <w:jc w:val="both"/>
        <w:outlineLvl w:val="0"/>
        <w:rPr>
          <w:rFonts w:ascii="Arial" w:hAnsi="Arial"/>
          <w:sz w:val="22"/>
          <w:szCs w:val="22"/>
          <w:lang w:eastAsia="en-GB"/>
        </w:rPr>
      </w:pPr>
      <w:r>
        <w:rPr>
          <w:rFonts w:ascii="Arial" w:hAnsi="Arial"/>
          <w:sz w:val="22"/>
          <w:szCs w:val="22"/>
          <w:lang w:eastAsia="en-GB"/>
        </w:rPr>
        <w:t>PRINCIPLE 2. TRUST AND RESPECT</w:t>
      </w:r>
    </w:p>
    <w:p w14:paraId="6EB50725" w14:textId="77777777" w:rsidR="009F1D48" w:rsidRDefault="009F1D48">
      <w:pPr>
        <w:jc w:val="both"/>
        <w:outlineLvl w:val="0"/>
        <w:rPr>
          <w:rFonts w:ascii="Arial" w:hAnsi="Arial"/>
          <w:sz w:val="22"/>
          <w:szCs w:val="22"/>
          <w:lang w:eastAsia="en-GB"/>
        </w:rPr>
      </w:pPr>
    </w:p>
    <w:p w14:paraId="31E00869" w14:textId="77777777" w:rsidR="009F1D48" w:rsidRDefault="009F1D48">
      <w:pPr>
        <w:jc w:val="both"/>
        <w:rPr>
          <w:rFonts w:ascii="Arial" w:hAnsi="Arial"/>
          <w:sz w:val="22"/>
          <w:szCs w:val="22"/>
          <w:lang w:eastAsia="en-GB"/>
        </w:rPr>
      </w:pPr>
      <w:r>
        <w:rPr>
          <w:rFonts w:ascii="Arial" w:hAnsi="Arial"/>
          <w:sz w:val="22"/>
          <w:szCs w:val="22"/>
          <w:lang w:eastAsia="en-GB"/>
        </w:rPr>
        <w:t>Beneficial partnerships between conservation interests and mobile peoples should be based upon mutual trust and respect and address the issue of discrimination against mobile peoples. To this end partnerships should:</w:t>
      </w:r>
    </w:p>
    <w:p w14:paraId="7AAF6242" w14:textId="77777777" w:rsidR="009F1D48" w:rsidRDefault="009F1D48">
      <w:pPr>
        <w:jc w:val="both"/>
        <w:rPr>
          <w:rFonts w:ascii="Arial" w:hAnsi="Arial"/>
          <w:sz w:val="22"/>
          <w:szCs w:val="22"/>
          <w:lang w:eastAsia="en-GB"/>
        </w:rPr>
      </w:pPr>
    </w:p>
    <w:p w14:paraId="35596E12" w14:textId="13C6471F" w:rsidR="009F1D48" w:rsidRDefault="009F1D48">
      <w:pPr>
        <w:jc w:val="both"/>
        <w:outlineLvl w:val="0"/>
        <w:rPr>
          <w:rFonts w:ascii="Arial" w:hAnsi="Arial"/>
          <w:sz w:val="22"/>
          <w:szCs w:val="22"/>
          <w:lang w:eastAsia="en-GB"/>
        </w:rPr>
      </w:pPr>
      <w:r>
        <w:rPr>
          <w:rFonts w:ascii="Arial" w:hAnsi="Arial"/>
          <w:sz w:val="22"/>
          <w:szCs w:val="22"/>
          <w:lang w:eastAsia="en-GB"/>
        </w:rPr>
        <w:t xml:space="preserve">2.1 Be </w:t>
      </w:r>
      <w:r w:rsidR="0021788F">
        <w:rPr>
          <w:rFonts w:ascii="Arial" w:hAnsi="Arial"/>
          <w:sz w:val="22"/>
          <w:szCs w:val="22"/>
          <w:lang w:eastAsia="en-GB"/>
        </w:rPr>
        <w:t>equitable.</w:t>
      </w:r>
    </w:p>
    <w:p w14:paraId="42E07830" w14:textId="6902F446" w:rsidR="009F1D48" w:rsidRDefault="009F1D48">
      <w:pPr>
        <w:jc w:val="both"/>
        <w:rPr>
          <w:rFonts w:ascii="Arial" w:hAnsi="Arial"/>
          <w:sz w:val="22"/>
          <w:szCs w:val="22"/>
          <w:lang w:eastAsia="en-GB"/>
        </w:rPr>
      </w:pPr>
      <w:r>
        <w:rPr>
          <w:rFonts w:ascii="Arial" w:hAnsi="Arial"/>
          <w:sz w:val="22"/>
          <w:szCs w:val="22"/>
          <w:lang w:eastAsia="en-GB"/>
        </w:rPr>
        <w:t xml:space="preserve">2.2 Fully respect and acknowledge mobile peoples’ </w:t>
      </w:r>
      <w:r w:rsidR="0021788F">
        <w:rPr>
          <w:rFonts w:ascii="Arial" w:hAnsi="Arial"/>
          <w:sz w:val="22"/>
          <w:szCs w:val="22"/>
          <w:lang w:eastAsia="en-GB"/>
        </w:rPr>
        <w:t>institutions.</w:t>
      </w:r>
    </w:p>
    <w:p w14:paraId="386FA680" w14:textId="7D2D4E0C" w:rsidR="009F1D48" w:rsidRDefault="009F1D48">
      <w:pPr>
        <w:jc w:val="both"/>
        <w:rPr>
          <w:rFonts w:ascii="Arial" w:hAnsi="Arial"/>
          <w:sz w:val="22"/>
          <w:szCs w:val="22"/>
          <w:lang w:eastAsia="en-GB"/>
        </w:rPr>
      </w:pPr>
      <w:r>
        <w:rPr>
          <w:rFonts w:ascii="Arial" w:hAnsi="Arial"/>
          <w:sz w:val="22"/>
          <w:szCs w:val="22"/>
          <w:lang w:eastAsia="en-GB"/>
        </w:rPr>
        <w:t xml:space="preserve">2.3 Balance the exercise of rights by all parties with the fulfilment of </w:t>
      </w:r>
      <w:r w:rsidR="0021788F">
        <w:rPr>
          <w:rFonts w:ascii="Arial" w:hAnsi="Arial"/>
          <w:sz w:val="22"/>
          <w:szCs w:val="22"/>
          <w:lang w:eastAsia="en-GB"/>
        </w:rPr>
        <w:t>responsibilities.</w:t>
      </w:r>
    </w:p>
    <w:p w14:paraId="2E5346E8" w14:textId="467A23E0" w:rsidR="009F1D48" w:rsidRDefault="009F1D48">
      <w:pPr>
        <w:jc w:val="both"/>
        <w:rPr>
          <w:rFonts w:ascii="Arial" w:hAnsi="Arial"/>
          <w:sz w:val="22"/>
          <w:szCs w:val="22"/>
          <w:lang w:eastAsia="en-GB"/>
        </w:rPr>
      </w:pPr>
      <w:r>
        <w:rPr>
          <w:rFonts w:ascii="Arial" w:hAnsi="Arial"/>
          <w:sz w:val="22"/>
          <w:szCs w:val="22"/>
          <w:lang w:eastAsia="en-GB"/>
        </w:rPr>
        <w:t xml:space="preserve">2.4 Recognise and incorporate relevant customary </w:t>
      </w:r>
      <w:r w:rsidR="0021788F">
        <w:rPr>
          <w:rFonts w:ascii="Arial" w:hAnsi="Arial"/>
          <w:sz w:val="22"/>
          <w:szCs w:val="22"/>
          <w:lang w:eastAsia="en-GB"/>
        </w:rPr>
        <w:t>law.</w:t>
      </w:r>
    </w:p>
    <w:p w14:paraId="4BD3F3EB" w14:textId="77777777" w:rsidR="009F1D48" w:rsidRDefault="009F1D48">
      <w:pPr>
        <w:numPr>
          <w:ilvl w:val="1"/>
          <w:numId w:val="2"/>
        </w:numPr>
        <w:jc w:val="both"/>
        <w:rPr>
          <w:rFonts w:ascii="Arial" w:hAnsi="Arial"/>
          <w:sz w:val="22"/>
          <w:szCs w:val="22"/>
          <w:lang w:eastAsia="en-GB"/>
        </w:rPr>
      </w:pPr>
      <w:r>
        <w:rPr>
          <w:rFonts w:ascii="Arial" w:hAnsi="Arial"/>
          <w:sz w:val="22"/>
          <w:szCs w:val="22"/>
          <w:lang w:eastAsia="en-GB"/>
        </w:rPr>
        <w:t xml:space="preserve">Promote the accountability of all parties in relation to the fulfilment of conservation objectives and the needs of mobile peoples. </w:t>
      </w:r>
    </w:p>
    <w:p w14:paraId="1D415CB5" w14:textId="77777777" w:rsidR="009F1D48" w:rsidRDefault="009F1D48">
      <w:pPr>
        <w:jc w:val="both"/>
        <w:rPr>
          <w:rFonts w:ascii="Arial" w:hAnsi="Arial"/>
          <w:sz w:val="22"/>
          <w:szCs w:val="22"/>
          <w:lang w:eastAsia="en-GB"/>
        </w:rPr>
      </w:pPr>
    </w:p>
    <w:p w14:paraId="6F8E5987" w14:textId="77777777" w:rsidR="009F1D48" w:rsidRDefault="009F1D48">
      <w:pPr>
        <w:jc w:val="both"/>
        <w:rPr>
          <w:rFonts w:ascii="Arial" w:hAnsi="Arial"/>
          <w:sz w:val="22"/>
          <w:szCs w:val="22"/>
          <w:lang w:eastAsia="en-GB"/>
        </w:rPr>
      </w:pPr>
    </w:p>
    <w:p w14:paraId="430D7EB6" w14:textId="77777777" w:rsidR="009F1D48" w:rsidRDefault="009F1D48" w:rsidP="000823CF">
      <w:pPr>
        <w:jc w:val="both"/>
        <w:outlineLvl w:val="0"/>
        <w:rPr>
          <w:rFonts w:ascii="Arial" w:hAnsi="Arial"/>
          <w:sz w:val="22"/>
          <w:szCs w:val="22"/>
          <w:lang w:eastAsia="en-GB"/>
        </w:rPr>
      </w:pPr>
      <w:r>
        <w:rPr>
          <w:rFonts w:ascii="Arial" w:hAnsi="Arial"/>
          <w:sz w:val="22"/>
          <w:szCs w:val="22"/>
          <w:lang w:eastAsia="en-GB"/>
        </w:rPr>
        <w:t>PRINCIPLE 3. DIFFERENT KNOWLEDGE SYSTEMS</w:t>
      </w:r>
    </w:p>
    <w:p w14:paraId="77C2F0E5" w14:textId="77777777" w:rsidR="009F1D48" w:rsidRDefault="009F1D48">
      <w:pPr>
        <w:jc w:val="both"/>
        <w:rPr>
          <w:rFonts w:ascii="Arial" w:hAnsi="Arial"/>
          <w:sz w:val="22"/>
          <w:szCs w:val="22"/>
          <w:lang w:eastAsia="en-GB"/>
        </w:rPr>
      </w:pPr>
    </w:p>
    <w:p w14:paraId="0CA066CC" w14:textId="77777777" w:rsidR="009F1D48" w:rsidRDefault="009F1D48">
      <w:pPr>
        <w:jc w:val="both"/>
        <w:rPr>
          <w:rFonts w:ascii="Arial" w:hAnsi="Arial"/>
          <w:sz w:val="22"/>
          <w:szCs w:val="22"/>
          <w:lang w:eastAsia="en-GB"/>
        </w:rPr>
      </w:pPr>
      <w:r>
        <w:rPr>
          <w:rFonts w:ascii="Arial" w:hAnsi="Arial"/>
          <w:sz w:val="22"/>
          <w:szCs w:val="22"/>
          <w:lang w:eastAsia="en-GB"/>
        </w:rPr>
        <w:t>In planning and implementing conservation of biodiversity with mobile peoples, there is a need to respect and incorporate their traditional knowledge and management practices. Given that no knowledge system is infallible, the complementary use of traditional and mainstream sciences is a valuable means of meeting the changing needs of mobile peoples and answering conservation dilemmas. In particular:</w:t>
      </w:r>
    </w:p>
    <w:p w14:paraId="00945F47" w14:textId="77777777" w:rsidR="009F1D48" w:rsidRDefault="009F1D48">
      <w:pPr>
        <w:jc w:val="both"/>
        <w:rPr>
          <w:rFonts w:ascii="Arial" w:hAnsi="Arial"/>
          <w:sz w:val="22"/>
          <w:szCs w:val="22"/>
          <w:lang w:eastAsia="en-GB"/>
        </w:rPr>
      </w:pPr>
    </w:p>
    <w:p w14:paraId="5717DEFD" w14:textId="1A20BB17" w:rsidR="009F1D48" w:rsidRDefault="009F1D48">
      <w:pPr>
        <w:pStyle w:val="BodyText2"/>
        <w:numPr>
          <w:ilvl w:val="1"/>
          <w:numId w:val="6"/>
        </w:numPr>
        <w:rPr>
          <w:lang w:eastAsia="en-GB"/>
        </w:rPr>
      </w:pPr>
      <w:r>
        <w:rPr>
          <w:lang w:eastAsia="en-GB"/>
        </w:rPr>
        <w:t xml:space="preserve">Traditional and mainstream sciences and management practices should enter into dialogue on a basis of equal footing and involve two-way </w:t>
      </w:r>
      <w:r w:rsidR="0021788F">
        <w:rPr>
          <w:lang w:eastAsia="en-GB"/>
        </w:rPr>
        <w:t>learning.</w:t>
      </w:r>
      <w:r>
        <w:rPr>
          <w:lang w:eastAsia="en-GB"/>
        </w:rPr>
        <w:t xml:space="preserve"> </w:t>
      </w:r>
    </w:p>
    <w:p w14:paraId="49D27297" w14:textId="485532E5" w:rsidR="009F1D48" w:rsidRDefault="009F1D48">
      <w:pPr>
        <w:pStyle w:val="BodyText2"/>
        <w:numPr>
          <w:ilvl w:val="1"/>
          <w:numId w:val="6"/>
        </w:numPr>
        <w:rPr>
          <w:lang w:eastAsia="en-GB"/>
        </w:rPr>
      </w:pPr>
      <w:r>
        <w:rPr>
          <w:lang w:eastAsia="en-GB"/>
        </w:rPr>
        <w:t xml:space="preserve">Traditional and mainstream sciences should be appropriately </w:t>
      </w:r>
      <w:r w:rsidR="0021788F">
        <w:rPr>
          <w:lang w:eastAsia="en-GB"/>
        </w:rPr>
        <w:t>valued,</w:t>
      </w:r>
      <w:r>
        <w:rPr>
          <w:lang w:eastAsia="en-GB"/>
        </w:rPr>
        <w:t xml:space="preserve"> and their dynamic nature acknowledged.</w:t>
      </w:r>
    </w:p>
    <w:p w14:paraId="2982F8A1" w14:textId="77777777" w:rsidR="009F1D48" w:rsidRDefault="009F1D48">
      <w:pPr>
        <w:jc w:val="both"/>
        <w:outlineLvl w:val="0"/>
        <w:rPr>
          <w:rFonts w:ascii="Arial" w:hAnsi="Arial"/>
          <w:sz w:val="22"/>
          <w:szCs w:val="22"/>
          <w:lang w:eastAsia="en-GB"/>
        </w:rPr>
      </w:pPr>
    </w:p>
    <w:p w14:paraId="2088EFF0" w14:textId="77777777" w:rsidR="009F1D48" w:rsidRDefault="009F1D48">
      <w:pPr>
        <w:jc w:val="both"/>
        <w:outlineLvl w:val="0"/>
        <w:rPr>
          <w:rFonts w:ascii="Arial" w:hAnsi="Arial"/>
          <w:sz w:val="22"/>
          <w:szCs w:val="22"/>
          <w:lang w:eastAsia="en-GB"/>
        </w:rPr>
      </w:pPr>
    </w:p>
    <w:p w14:paraId="40698D8C" w14:textId="77777777" w:rsidR="009F1D48" w:rsidRDefault="009F1D48" w:rsidP="000823CF">
      <w:pPr>
        <w:jc w:val="both"/>
        <w:outlineLvl w:val="0"/>
        <w:rPr>
          <w:rFonts w:ascii="Arial" w:hAnsi="Arial"/>
          <w:sz w:val="22"/>
          <w:szCs w:val="22"/>
          <w:lang w:eastAsia="en-GB"/>
        </w:rPr>
      </w:pPr>
      <w:r>
        <w:rPr>
          <w:rFonts w:ascii="Arial" w:hAnsi="Arial"/>
          <w:sz w:val="22"/>
          <w:szCs w:val="22"/>
          <w:lang w:eastAsia="en-GB"/>
        </w:rPr>
        <w:t>PRINCIPLE 4. ADAPTIVE MANAGEMENT</w:t>
      </w:r>
    </w:p>
    <w:p w14:paraId="2C681904" w14:textId="77777777" w:rsidR="009F1D48" w:rsidRDefault="009F1D48">
      <w:pPr>
        <w:jc w:val="both"/>
        <w:outlineLvl w:val="0"/>
        <w:rPr>
          <w:rFonts w:ascii="Arial" w:hAnsi="Arial"/>
          <w:sz w:val="22"/>
          <w:szCs w:val="22"/>
          <w:lang w:eastAsia="en-GB"/>
        </w:rPr>
      </w:pPr>
    </w:p>
    <w:p w14:paraId="30946A2C" w14:textId="77777777" w:rsidR="009F1D48" w:rsidRDefault="009F1D48">
      <w:pPr>
        <w:jc w:val="both"/>
        <w:rPr>
          <w:rFonts w:ascii="Arial" w:hAnsi="Arial"/>
          <w:sz w:val="22"/>
          <w:szCs w:val="22"/>
          <w:lang w:eastAsia="en-GB"/>
        </w:rPr>
      </w:pPr>
      <w:r>
        <w:rPr>
          <w:rFonts w:ascii="Arial" w:hAnsi="Arial"/>
          <w:sz w:val="22"/>
          <w:szCs w:val="22"/>
          <w:lang w:eastAsia="en-GB"/>
        </w:rPr>
        <w:t>Conservation of biodiversity and natural resources within areas inhabited or used by mobile peoples requires the application of adaptive management approaches. Such approaches should build on traditional / existing cultural models and incorporate mobile peoples’ worldviews, aspirations and customary law. They should work towards the physical and cultural survival of mobile peoples and the long-term conservation of biodiversity.</w:t>
      </w:r>
    </w:p>
    <w:p w14:paraId="48B9EAE8" w14:textId="77777777" w:rsidR="009F1D48" w:rsidRDefault="009F1D48">
      <w:pPr>
        <w:jc w:val="both"/>
        <w:rPr>
          <w:rFonts w:ascii="Arial" w:hAnsi="Arial"/>
          <w:sz w:val="22"/>
          <w:szCs w:val="22"/>
          <w:lang w:eastAsia="en-GB"/>
        </w:rPr>
      </w:pPr>
    </w:p>
    <w:p w14:paraId="1F75A6B7" w14:textId="77777777" w:rsidR="009F1D48" w:rsidRDefault="009F1D48">
      <w:pPr>
        <w:pStyle w:val="BodyText"/>
        <w:widowControl/>
        <w:autoSpaceDE/>
        <w:autoSpaceDN/>
        <w:adjustRightInd/>
        <w:jc w:val="both"/>
        <w:rPr>
          <w:lang w:eastAsia="en-GB"/>
        </w:rPr>
      </w:pPr>
      <w:r>
        <w:rPr>
          <w:lang w:eastAsia="en-GB"/>
        </w:rPr>
        <w:t>More particularly, such adaptive management approaches should:</w:t>
      </w:r>
    </w:p>
    <w:p w14:paraId="7F898B8D" w14:textId="77777777" w:rsidR="009F1D48" w:rsidRDefault="009F1D48">
      <w:pPr>
        <w:jc w:val="both"/>
        <w:rPr>
          <w:rFonts w:ascii="Arial" w:hAnsi="Arial"/>
          <w:sz w:val="22"/>
          <w:szCs w:val="22"/>
          <w:lang w:eastAsia="en-GB"/>
        </w:rPr>
      </w:pPr>
    </w:p>
    <w:p w14:paraId="5ABB8E97" w14:textId="674E7F83" w:rsidR="009F1D48" w:rsidRDefault="009F1D48">
      <w:pPr>
        <w:pStyle w:val="BodyText"/>
        <w:widowControl/>
        <w:numPr>
          <w:ilvl w:val="1"/>
          <w:numId w:val="3"/>
        </w:numPr>
        <w:autoSpaceDE/>
        <w:autoSpaceDN/>
        <w:adjustRightInd/>
        <w:jc w:val="both"/>
        <w:rPr>
          <w:lang w:eastAsia="en-GB"/>
        </w:rPr>
      </w:pPr>
      <w:r>
        <w:rPr>
          <w:lang w:eastAsia="en-GB"/>
        </w:rPr>
        <w:t xml:space="preserve">Build on areas of common interest between the chosen lifestyles of mobile peoples and the conservation objective of sustainable resource </w:t>
      </w:r>
      <w:r w:rsidR="0021788F">
        <w:rPr>
          <w:lang w:eastAsia="en-GB"/>
        </w:rPr>
        <w:t>management.</w:t>
      </w:r>
    </w:p>
    <w:p w14:paraId="685A261F" w14:textId="655301F7" w:rsidR="009F1D48" w:rsidRDefault="009F1D48">
      <w:pPr>
        <w:numPr>
          <w:ilvl w:val="1"/>
          <w:numId w:val="3"/>
        </w:numPr>
        <w:jc w:val="both"/>
        <w:rPr>
          <w:rFonts w:ascii="Arial" w:hAnsi="Arial"/>
          <w:sz w:val="22"/>
          <w:szCs w:val="22"/>
          <w:lang w:eastAsia="en-GB"/>
        </w:rPr>
      </w:pPr>
      <w:r>
        <w:rPr>
          <w:rFonts w:ascii="Arial" w:hAnsi="Arial"/>
          <w:sz w:val="22"/>
          <w:szCs w:val="22"/>
          <w:lang w:eastAsia="en-GB"/>
        </w:rPr>
        <w:lastRenderedPageBreak/>
        <w:t xml:space="preserve">Allow for diversification of </w:t>
      </w:r>
      <w:r w:rsidR="0021788F">
        <w:rPr>
          <w:rFonts w:ascii="Arial" w:hAnsi="Arial"/>
          <w:sz w:val="22"/>
          <w:szCs w:val="22"/>
          <w:lang w:eastAsia="en-GB"/>
        </w:rPr>
        <w:t>livelihoods and</w:t>
      </w:r>
      <w:r>
        <w:rPr>
          <w:rFonts w:ascii="Arial" w:hAnsi="Arial"/>
          <w:sz w:val="22"/>
          <w:szCs w:val="22"/>
          <w:lang w:eastAsia="en-GB"/>
        </w:rPr>
        <w:t xml:space="preserve"> ensure provision of a variety of benefits at all levels, including mobile </w:t>
      </w:r>
      <w:r w:rsidR="0021788F">
        <w:rPr>
          <w:rFonts w:ascii="Arial" w:hAnsi="Arial"/>
          <w:sz w:val="22"/>
          <w:szCs w:val="22"/>
          <w:lang w:eastAsia="en-GB"/>
        </w:rPr>
        <w:t>services.</w:t>
      </w:r>
    </w:p>
    <w:p w14:paraId="65756959" w14:textId="7D89C791" w:rsidR="009F1D48" w:rsidRDefault="009F1D48">
      <w:pPr>
        <w:numPr>
          <w:ilvl w:val="1"/>
          <w:numId w:val="3"/>
        </w:numPr>
        <w:jc w:val="both"/>
        <w:rPr>
          <w:rFonts w:ascii="Arial" w:hAnsi="Arial"/>
          <w:sz w:val="22"/>
          <w:szCs w:val="22"/>
          <w:lang w:eastAsia="en-GB"/>
        </w:rPr>
      </w:pPr>
      <w:r>
        <w:rPr>
          <w:rFonts w:ascii="Arial" w:hAnsi="Arial"/>
          <w:sz w:val="22"/>
          <w:szCs w:val="22"/>
          <w:lang w:eastAsia="en-GB"/>
        </w:rPr>
        <w:t xml:space="preserve">Recognise the diversity of systems of tenure and access to resources, including the customary sharing of </w:t>
      </w:r>
      <w:r w:rsidR="0021788F">
        <w:rPr>
          <w:rFonts w:ascii="Arial" w:hAnsi="Arial"/>
          <w:sz w:val="22"/>
          <w:szCs w:val="22"/>
          <w:lang w:eastAsia="en-GB"/>
        </w:rPr>
        <w:t>resources.</w:t>
      </w:r>
    </w:p>
    <w:p w14:paraId="64575F5C" w14:textId="78D4453F" w:rsidR="009F1D48" w:rsidRDefault="009F1D48">
      <w:pPr>
        <w:numPr>
          <w:ilvl w:val="1"/>
          <w:numId w:val="3"/>
        </w:numPr>
        <w:jc w:val="both"/>
        <w:rPr>
          <w:rFonts w:ascii="Arial" w:hAnsi="Arial"/>
          <w:sz w:val="22"/>
          <w:szCs w:val="22"/>
        </w:rPr>
      </w:pPr>
      <w:r>
        <w:rPr>
          <w:rFonts w:ascii="Arial" w:hAnsi="Arial"/>
          <w:sz w:val="22"/>
          <w:szCs w:val="22"/>
        </w:rPr>
        <w:t xml:space="preserve">Recognize and support the contributions made by mobile peoples to conserving and enhancing the genetic diversity of domesticated animals and </w:t>
      </w:r>
      <w:r w:rsidR="0021788F">
        <w:rPr>
          <w:rFonts w:ascii="Arial" w:hAnsi="Arial"/>
          <w:sz w:val="22"/>
          <w:szCs w:val="22"/>
        </w:rPr>
        <w:t>plants.</w:t>
      </w:r>
    </w:p>
    <w:p w14:paraId="06F23912" w14:textId="7684195C" w:rsidR="009F1D48" w:rsidRDefault="009F1D48">
      <w:pPr>
        <w:numPr>
          <w:ilvl w:val="1"/>
          <w:numId w:val="3"/>
        </w:numPr>
        <w:jc w:val="both"/>
        <w:rPr>
          <w:rFonts w:ascii="Arial" w:hAnsi="Arial"/>
          <w:sz w:val="22"/>
          <w:szCs w:val="22"/>
          <w:lang w:eastAsia="en-GB"/>
        </w:rPr>
      </w:pPr>
      <w:r>
        <w:rPr>
          <w:rFonts w:ascii="Arial" w:hAnsi="Arial"/>
          <w:sz w:val="22"/>
          <w:szCs w:val="22"/>
          <w:lang w:eastAsia="en-GB"/>
        </w:rPr>
        <w:t xml:space="preserve">Learn from the flexible management practices of mobile peoples to enrich </w:t>
      </w:r>
      <w:r w:rsidR="0021788F">
        <w:rPr>
          <w:rFonts w:ascii="Arial" w:hAnsi="Arial"/>
          <w:sz w:val="22"/>
          <w:szCs w:val="22"/>
          <w:lang w:eastAsia="en-GB"/>
        </w:rPr>
        <w:t>conservation.</w:t>
      </w:r>
    </w:p>
    <w:p w14:paraId="1584298E" w14:textId="77777777" w:rsidR="009F1D48" w:rsidRDefault="009F1D48">
      <w:pPr>
        <w:numPr>
          <w:ilvl w:val="1"/>
          <w:numId w:val="3"/>
        </w:numPr>
        <w:jc w:val="both"/>
        <w:rPr>
          <w:rFonts w:ascii="Arial" w:hAnsi="Arial"/>
          <w:sz w:val="22"/>
          <w:szCs w:val="22"/>
          <w:lang w:eastAsia="en-GB"/>
        </w:rPr>
      </w:pPr>
      <w:r>
        <w:rPr>
          <w:rFonts w:ascii="Arial" w:hAnsi="Arial"/>
          <w:sz w:val="22"/>
          <w:szCs w:val="22"/>
          <w:lang w:eastAsia="en-GB"/>
        </w:rPr>
        <w:t>Develop conservation planning at a larger landscape scale, using the notion of mobility as a central concept, and incorporating both ecological and cultural perspectives.</w:t>
      </w:r>
    </w:p>
    <w:p w14:paraId="0A3AE10A" w14:textId="77777777" w:rsidR="009F1D48" w:rsidRDefault="009F1D48">
      <w:pPr>
        <w:jc w:val="both"/>
        <w:rPr>
          <w:rFonts w:ascii="Arial" w:hAnsi="Arial"/>
          <w:sz w:val="22"/>
          <w:szCs w:val="22"/>
          <w:lang w:eastAsia="en-GB"/>
        </w:rPr>
      </w:pPr>
    </w:p>
    <w:p w14:paraId="0FD7F5CE" w14:textId="77777777" w:rsidR="009F1D48" w:rsidRDefault="009F1D48">
      <w:pPr>
        <w:jc w:val="both"/>
        <w:rPr>
          <w:rFonts w:ascii="Arial" w:hAnsi="Arial"/>
          <w:sz w:val="22"/>
          <w:szCs w:val="22"/>
          <w:lang w:eastAsia="en-GB"/>
        </w:rPr>
      </w:pPr>
      <w:r>
        <w:rPr>
          <w:rFonts w:ascii="Arial" w:hAnsi="Arial"/>
          <w:sz w:val="22"/>
          <w:szCs w:val="22"/>
          <w:lang w:eastAsia="en-GB"/>
        </w:rPr>
        <w:t xml:space="preserve"> </w:t>
      </w:r>
    </w:p>
    <w:p w14:paraId="6AFDAA03" w14:textId="77777777" w:rsidR="009F1D48" w:rsidRDefault="009F1D48" w:rsidP="000823CF">
      <w:pPr>
        <w:jc w:val="both"/>
        <w:outlineLvl w:val="0"/>
        <w:rPr>
          <w:rFonts w:ascii="Arial" w:hAnsi="Arial"/>
          <w:sz w:val="22"/>
          <w:szCs w:val="22"/>
          <w:lang w:eastAsia="en-GB"/>
        </w:rPr>
      </w:pPr>
      <w:r>
        <w:rPr>
          <w:rFonts w:ascii="Arial" w:hAnsi="Arial"/>
          <w:sz w:val="22"/>
          <w:szCs w:val="22"/>
          <w:lang w:eastAsia="en-GB"/>
        </w:rPr>
        <w:t>PRINCIPLE 5: COLLABORATIVE MANAGEMENT</w:t>
      </w:r>
    </w:p>
    <w:p w14:paraId="20702E8D" w14:textId="77777777" w:rsidR="009F1D48" w:rsidRDefault="009F1D48">
      <w:pPr>
        <w:jc w:val="both"/>
        <w:rPr>
          <w:rFonts w:ascii="Arial" w:hAnsi="Arial"/>
          <w:sz w:val="22"/>
          <w:szCs w:val="22"/>
          <w:lang w:eastAsia="en-GB"/>
        </w:rPr>
      </w:pPr>
    </w:p>
    <w:p w14:paraId="0AB69BA3" w14:textId="77777777" w:rsidR="009F1D48" w:rsidRDefault="009F1D48">
      <w:pPr>
        <w:jc w:val="both"/>
        <w:rPr>
          <w:rFonts w:ascii="Arial" w:hAnsi="Arial"/>
          <w:sz w:val="22"/>
          <w:szCs w:val="22"/>
          <w:lang w:eastAsia="en-GB"/>
        </w:rPr>
      </w:pPr>
      <w:r>
        <w:rPr>
          <w:rFonts w:ascii="Arial" w:hAnsi="Arial"/>
          <w:sz w:val="22"/>
          <w:szCs w:val="22"/>
          <w:lang w:eastAsia="en-GB"/>
        </w:rPr>
        <w:t xml:space="preserve">Adequate institutional structures for adaptive management should be based on the concept of equitable sharing of decision-making and management responsibilities between mobile peoples and conservation agencies. This is only possible if the existing decision-making mechanisms for biodiversity conservation become more democratic and transparent, so as to allow for the full and open participation of civil society and mobile peoples in particular, and for the establishment of co-management and self-management systems. This requires that the relevant parties: </w:t>
      </w:r>
    </w:p>
    <w:p w14:paraId="1A7D6979" w14:textId="77777777" w:rsidR="009F1D48" w:rsidRDefault="009F1D48">
      <w:pPr>
        <w:jc w:val="both"/>
        <w:rPr>
          <w:rFonts w:ascii="Arial" w:hAnsi="Arial"/>
          <w:sz w:val="22"/>
          <w:szCs w:val="22"/>
          <w:lang w:eastAsia="en-GB"/>
        </w:rPr>
      </w:pPr>
    </w:p>
    <w:p w14:paraId="584415B5" w14:textId="516F7E6A" w:rsidR="009F1D48" w:rsidRDefault="009F1D48">
      <w:pPr>
        <w:numPr>
          <w:ilvl w:val="1"/>
          <w:numId w:val="4"/>
        </w:numPr>
        <w:jc w:val="both"/>
        <w:rPr>
          <w:rFonts w:ascii="Arial" w:hAnsi="Arial"/>
          <w:sz w:val="22"/>
          <w:szCs w:val="22"/>
        </w:rPr>
      </w:pPr>
      <w:r>
        <w:rPr>
          <w:rFonts w:ascii="Arial" w:hAnsi="Arial"/>
          <w:sz w:val="22"/>
          <w:szCs w:val="22"/>
        </w:rPr>
        <w:t xml:space="preserve">Develop processes and means that foster cross-cultural dialogue directed towards consensual </w:t>
      </w:r>
      <w:r w:rsidR="0021788F">
        <w:rPr>
          <w:rFonts w:ascii="Arial" w:hAnsi="Arial"/>
          <w:sz w:val="22"/>
          <w:szCs w:val="22"/>
        </w:rPr>
        <w:t>decision-making.</w:t>
      </w:r>
    </w:p>
    <w:p w14:paraId="470196EC" w14:textId="53D7331B" w:rsidR="009F1D48" w:rsidRDefault="009F1D48">
      <w:pPr>
        <w:numPr>
          <w:ilvl w:val="1"/>
          <w:numId w:val="4"/>
        </w:numPr>
        <w:jc w:val="both"/>
        <w:rPr>
          <w:rFonts w:ascii="Arial" w:hAnsi="Arial"/>
          <w:sz w:val="22"/>
          <w:szCs w:val="22"/>
          <w:lang w:eastAsia="en-GB"/>
        </w:rPr>
      </w:pPr>
      <w:r>
        <w:rPr>
          <w:rFonts w:ascii="Arial" w:hAnsi="Arial"/>
          <w:sz w:val="22"/>
          <w:szCs w:val="22"/>
        </w:rPr>
        <w:t xml:space="preserve">Incorporate culturally appropriate conflict-management mechanisms and </w:t>
      </w:r>
      <w:r w:rsidR="0021788F">
        <w:rPr>
          <w:rFonts w:ascii="Arial" w:hAnsi="Arial"/>
          <w:sz w:val="22"/>
          <w:szCs w:val="22"/>
        </w:rPr>
        <w:t>institutions.</w:t>
      </w:r>
    </w:p>
    <w:p w14:paraId="2307B13B" w14:textId="61F490E8" w:rsidR="009F1D48" w:rsidRDefault="009F1D48">
      <w:pPr>
        <w:numPr>
          <w:ilvl w:val="1"/>
          <w:numId w:val="4"/>
        </w:numPr>
        <w:jc w:val="both"/>
        <w:rPr>
          <w:rFonts w:ascii="Arial" w:hAnsi="Arial"/>
          <w:sz w:val="22"/>
          <w:szCs w:val="22"/>
          <w:lang w:eastAsia="en-GB"/>
        </w:rPr>
      </w:pPr>
      <w:r>
        <w:rPr>
          <w:rFonts w:ascii="Arial" w:hAnsi="Arial"/>
          <w:sz w:val="22"/>
          <w:szCs w:val="22"/>
        </w:rPr>
        <w:t xml:space="preserve">Recognize the time-scale appropriate to cultural processes and the time required to build intercultural partnerships for adaptive </w:t>
      </w:r>
      <w:r w:rsidR="0021788F">
        <w:rPr>
          <w:rFonts w:ascii="Arial" w:hAnsi="Arial"/>
          <w:sz w:val="22"/>
          <w:szCs w:val="22"/>
        </w:rPr>
        <w:t>management.</w:t>
      </w:r>
    </w:p>
    <w:p w14:paraId="7926E192" w14:textId="4A8BCE45" w:rsidR="009F1D48" w:rsidRDefault="009F1D48">
      <w:pPr>
        <w:numPr>
          <w:ilvl w:val="1"/>
          <w:numId w:val="4"/>
        </w:numPr>
        <w:jc w:val="both"/>
        <w:rPr>
          <w:rFonts w:ascii="Arial" w:hAnsi="Arial"/>
          <w:sz w:val="22"/>
          <w:szCs w:val="22"/>
          <w:lang w:eastAsia="en-GB"/>
        </w:rPr>
      </w:pPr>
      <w:r>
        <w:rPr>
          <w:rFonts w:ascii="Arial" w:hAnsi="Arial"/>
          <w:sz w:val="22"/>
          <w:szCs w:val="22"/>
        </w:rPr>
        <w:t xml:space="preserve">Foster locally agreed solutions to conservation </w:t>
      </w:r>
      <w:r w:rsidR="0021788F">
        <w:rPr>
          <w:rFonts w:ascii="Arial" w:hAnsi="Arial"/>
          <w:sz w:val="22"/>
          <w:szCs w:val="22"/>
        </w:rPr>
        <w:t>problems.</w:t>
      </w:r>
    </w:p>
    <w:p w14:paraId="63A8A6A2" w14:textId="57C86131" w:rsidR="009F1D48" w:rsidRDefault="009F1D48">
      <w:pPr>
        <w:numPr>
          <w:ilvl w:val="1"/>
          <w:numId w:val="4"/>
        </w:numPr>
        <w:jc w:val="both"/>
        <w:rPr>
          <w:rFonts w:ascii="Arial" w:hAnsi="Arial"/>
          <w:sz w:val="22"/>
          <w:szCs w:val="22"/>
        </w:rPr>
      </w:pPr>
      <w:r>
        <w:rPr>
          <w:rFonts w:ascii="Arial" w:hAnsi="Arial"/>
          <w:sz w:val="22"/>
          <w:szCs w:val="22"/>
        </w:rPr>
        <w:t xml:space="preserve">Encourage diverse and pluralistic approaches to conservation planning and </w:t>
      </w:r>
      <w:r w:rsidR="0021788F">
        <w:rPr>
          <w:rFonts w:ascii="Arial" w:hAnsi="Arial"/>
          <w:sz w:val="22"/>
          <w:szCs w:val="22"/>
        </w:rPr>
        <w:t>implementation.</w:t>
      </w:r>
    </w:p>
    <w:p w14:paraId="580D73C9" w14:textId="77777777" w:rsidR="009F1D48" w:rsidRDefault="009F1D48">
      <w:pPr>
        <w:numPr>
          <w:ilvl w:val="1"/>
          <w:numId w:val="4"/>
        </w:numPr>
        <w:jc w:val="both"/>
        <w:rPr>
          <w:rFonts w:ascii="Arial" w:hAnsi="Arial"/>
          <w:sz w:val="22"/>
          <w:szCs w:val="22"/>
        </w:rPr>
      </w:pPr>
      <w:r>
        <w:rPr>
          <w:rFonts w:ascii="Arial" w:hAnsi="Arial"/>
          <w:sz w:val="22"/>
          <w:szCs w:val="22"/>
        </w:rPr>
        <w:t>Develop their capacities to enter into mutually beneficial partnerships.</w:t>
      </w:r>
    </w:p>
    <w:p w14:paraId="171FC52E" w14:textId="77777777" w:rsidR="009F1D48" w:rsidRDefault="009F1D48">
      <w:pPr>
        <w:jc w:val="both"/>
        <w:rPr>
          <w:rFonts w:ascii="Arial" w:hAnsi="Arial"/>
          <w:sz w:val="22"/>
          <w:szCs w:val="22"/>
        </w:rPr>
      </w:pPr>
    </w:p>
    <w:p w14:paraId="38DC436A" w14:textId="77777777" w:rsidR="009F1D48" w:rsidRDefault="009F1D48">
      <w:pPr>
        <w:pBdr>
          <w:bottom w:val="single" w:sz="12" w:space="1" w:color="auto"/>
        </w:pBdr>
        <w:jc w:val="both"/>
        <w:rPr>
          <w:rFonts w:ascii="Arial" w:hAnsi="Arial"/>
          <w:sz w:val="22"/>
          <w:szCs w:val="22"/>
          <w:lang w:eastAsia="en-GB"/>
        </w:rPr>
      </w:pPr>
    </w:p>
    <w:p w14:paraId="7512FAD8" w14:textId="77777777" w:rsidR="009F1D48" w:rsidRDefault="009F1D48">
      <w:pPr>
        <w:jc w:val="center"/>
        <w:rPr>
          <w:rFonts w:ascii="Arial" w:hAnsi="Arial"/>
          <w:sz w:val="22"/>
          <w:szCs w:val="22"/>
          <w:lang w:eastAsia="en-GB"/>
        </w:rPr>
      </w:pPr>
    </w:p>
    <w:p w14:paraId="742E194A" w14:textId="77777777" w:rsidR="009F1D48" w:rsidRDefault="009F1D48">
      <w:pPr>
        <w:pStyle w:val="BodyText2"/>
        <w:rPr>
          <w:lang w:eastAsia="en-GB"/>
        </w:rPr>
      </w:pPr>
      <w:r>
        <w:rPr>
          <w:lang w:eastAsia="en-GB"/>
        </w:rPr>
        <w:t xml:space="preserve">This declaration is our contribution to narrowing the disciplinary divide. The ideas in it need to be tested, refined and further developed in dialogue with mobile peoples themselves and others. But these issues need to be considered urgently at national and international levels – and in particular at the forthcoming World Summit on Sustainable Development and the World Parks Congress. </w:t>
      </w:r>
    </w:p>
    <w:p w14:paraId="278D3095" w14:textId="77777777" w:rsidR="009F1D48" w:rsidRDefault="009F1D48" w:rsidP="000823CF">
      <w:pPr>
        <w:pStyle w:val="BodyText2"/>
        <w:outlineLvl w:val="0"/>
        <w:rPr>
          <w:lang w:eastAsia="en-GB"/>
        </w:rPr>
      </w:pPr>
      <w:r>
        <w:rPr>
          <w:lang w:eastAsia="en-GB"/>
        </w:rPr>
        <w:br w:type="page"/>
      </w:r>
      <w:r>
        <w:rPr>
          <w:lang w:eastAsia="en-GB"/>
        </w:rPr>
        <w:lastRenderedPageBreak/>
        <w:t xml:space="preserve">PARTIES TO THE DECLARATION: </w:t>
      </w:r>
    </w:p>
    <w:p w14:paraId="6E8D91FA" w14:textId="77777777" w:rsidR="009F1D48" w:rsidRDefault="009F1D48">
      <w:pPr>
        <w:jc w:val="both"/>
        <w:rPr>
          <w:rFonts w:ascii="Arial" w:hAnsi="Arial"/>
          <w:sz w:val="22"/>
          <w:szCs w:val="22"/>
          <w:lang w:eastAsia="en-GB"/>
        </w:rPr>
      </w:pPr>
    </w:p>
    <w:tbl>
      <w:tblPr>
        <w:tblW w:w="8789" w:type="dxa"/>
        <w:tblInd w:w="15" w:type="dxa"/>
        <w:tblCellMar>
          <w:left w:w="15" w:type="dxa"/>
          <w:right w:w="15" w:type="dxa"/>
        </w:tblCellMar>
        <w:tblLook w:val="0000" w:firstRow="0" w:lastRow="0" w:firstColumn="0" w:lastColumn="0" w:noHBand="0" w:noVBand="0"/>
      </w:tblPr>
      <w:tblGrid>
        <w:gridCol w:w="2410"/>
        <w:gridCol w:w="6379"/>
      </w:tblGrid>
      <w:tr w:rsidR="009F1D48" w14:paraId="6616B0BE" w14:textId="77777777">
        <w:tc>
          <w:tcPr>
            <w:tcW w:w="2410" w:type="dxa"/>
            <w:shd w:val="clear" w:color="auto" w:fill="FFFFFF"/>
          </w:tcPr>
          <w:p w14:paraId="48261975" w14:textId="77777777" w:rsidR="009F1D48" w:rsidRDefault="009F1D48">
            <w:pPr>
              <w:spacing w:before="40" w:after="40"/>
              <w:rPr>
                <w:rFonts w:ascii="Arial" w:hAnsi="Arial" w:cs="Arial"/>
                <w:sz w:val="22"/>
              </w:rPr>
            </w:pPr>
            <w:r>
              <w:rPr>
                <w:rFonts w:ascii="Arial" w:hAnsi="Arial" w:cs="Arial"/>
                <w:sz w:val="22"/>
              </w:rPr>
              <w:t xml:space="preserve">Alejandro </w:t>
            </w:r>
            <w:proofErr w:type="spellStart"/>
            <w:r>
              <w:rPr>
                <w:rFonts w:ascii="Arial" w:hAnsi="Arial" w:cs="Arial"/>
                <w:sz w:val="22"/>
              </w:rPr>
              <w:t>Argumedo</w:t>
            </w:r>
            <w:proofErr w:type="spellEnd"/>
          </w:p>
        </w:tc>
        <w:tc>
          <w:tcPr>
            <w:tcW w:w="6379" w:type="dxa"/>
            <w:shd w:val="clear" w:color="auto" w:fill="FFFFFF"/>
          </w:tcPr>
          <w:p w14:paraId="78AB7E3C" w14:textId="77777777" w:rsidR="009F1D48" w:rsidRDefault="009F1D48">
            <w:pPr>
              <w:spacing w:before="40" w:after="40"/>
              <w:ind w:right="140"/>
              <w:rPr>
                <w:rFonts w:ascii="Arial" w:hAnsi="Arial" w:cs="Arial"/>
                <w:sz w:val="22"/>
              </w:rPr>
            </w:pPr>
            <w:r>
              <w:rPr>
                <w:rFonts w:ascii="Arial" w:hAnsi="Arial" w:cs="Arial"/>
                <w:noProof/>
                <w:sz w:val="22"/>
              </w:rPr>
              <w:t>Asociacion Quechua-Aymara ANDES, Indigenous Peoples' Biodiversity Network (IPBN), Peru</w:t>
            </w:r>
          </w:p>
        </w:tc>
      </w:tr>
      <w:tr w:rsidR="009F1D48" w14:paraId="36AF5F45" w14:textId="77777777">
        <w:tc>
          <w:tcPr>
            <w:tcW w:w="2410" w:type="dxa"/>
            <w:shd w:val="clear" w:color="auto" w:fill="FFFFFF"/>
          </w:tcPr>
          <w:p w14:paraId="0F874710" w14:textId="77777777" w:rsidR="009F1D48" w:rsidRDefault="009F1D48">
            <w:pPr>
              <w:spacing w:before="40" w:after="40"/>
              <w:rPr>
                <w:rFonts w:ascii="Arial" w:hAnsi="Arial" w:cs="Arial"/>
                <w:sz w:val="22"/>
              </w:rPr>
            </w:pPr>
            <w:r>
              <w:rPr>
                <w:rFonts w:ascii="Arial" w:hAnsi="Arial" w:cs="Arial"/>
                <w:sz w:val="22"/>
              </w:rPr>
              <w:t>Richard Baker</w:t>
            </w:r>
          </w:p>
        </w:tc>
        <w:tc>
          <w:tcPr>
            <w:tcW w:w="6379" w:type="dxa"/>
            <w:shd w:val="clear" w:color="auto" w:fill="FFFFFF"/>
          </w:tcPr>
          <w:p w14:paraId="53BDE2B7" w14:textId="77777777" w:rsidR="009F1D48" w:rsidRDefault="009F1D48">
            <w:pPr>
              <w:spacing w:before="40" w:after="40"/>
              <w:ind w:right="140"/>
              <w:rPr>
                <w:rFonts w:ascii="Arial" w:hAnsi="Arial" w:cs="Arial"/>
                <w:sz w:val="22"/>
              </w:rPr>
            </w:pPr>
            <w:r>
              <w:rPr>
                <w:rFonts w:ascii="Arial" w:hAnsi="Arial" w:cs="Arial"/>
                <w:noProof/>
                <w:sz w:val="22"/>
              </w:rPr>
              <w:t>School of Resources, Environment and Society, Australian National University, Australia</w:t>
            </w:r>
          </w:p>
        </w:tc>
      </w:tr>
      <w:tr w:rsidR="009F1D48" w14:paraId="7843CA5C" w14:textId="77777777">
        <w:tc>
          <w:tcPr>
            <w:tcW w:w="2410" w:type="dxa"/>
            <w:shd w:val="clear" w:color="auto" w:fill="FFFFFF"/>
          </w:tcPr>
          <w:p w14:paraId="00E6BD47" w14:textId="77777777" w:rsidR="009F1D48" w:rsidRDefault="009F1D48">
            <w:pPr>
              <w:spacing w:before="40" w:after="40"/>
              <w:rPr>
                <w:rFonts w:ascii="Arial" w:hAnsi="Arial" w:cs="Arial"/>
                <w:sz w:val="22"/>
              </w:rPr>
            </w:pPr>
            <w:r>
              <w:rPr>
                <w:rFonts w:ascii="Arial" w:hAnsi="Arial" w:cs="Arial"/>
                <w:sz w:val="22"/>
              </w:rPr>
              <w:t xml:space="preserve">Ahmed </w:t>
            </w:r>
            <w:proofErr w:type="spellStart"/>
            <w:r>
              <w:rPr>
                <w:rFonts w:ascii="Arial" w:hAnsi="Arial" w:cs="Arial"/>
                <w:sz w:val="22"/>
              </w:rPr>
              <w:t>Belal</w:t>
            </w:r>
            <w:proofErr w:type="spellEnd"/>
          </w:p>
        </w:tc>
        <w:tc>
          <w:tcPr>
            <w:tcW w:w="6379" w:type="dxa"/>
            <w:shd w:val="clear" w:color="auto" w:fill="FFFFFF"/>
          </w:tcPr>
          <w:p w14:paraId="2EF7ECCA" w14:textId="77777777" w:rsidR="009F1D48" w:rsidRDefault="009F1D48">
            <w:pPr>
              <w:spacing w:before="40" w:after="40"/>
              <w:rPr>
                <w:rFonts w:ascii="Arial" w:hAnsi="Arial" w:cs="Arial"/>
                <w:sz w:val="22"/>
              </w:rPr>
            </w:pPr>
            <w:r>
              <w:rPr>
                <w:rFonts w:ascii="Arial" w:hAnsi="Arial" w:cs="Arial"/>
                <w:sz w:val="22"/>
              </w:rPr>
              <w:t>UNESCO ECOTECHNE Chair, South Valley University, Egypt</w:t>
            </w:r>
          </w:p>
        </w:tc>
      </w:tr>
      <w:tr w:rsidR="009F1D48" w14:paraId="47EA5C1D" w14:textId="77777777">
        <w:tc>
          <w:tcPr>
            <w:tcW w:w="2410" w:type="dxa"/>
            <w:shd w:val="clear" w:color="auto" w:fill="FFFFFF"/>
          </w:tcPr>
          <w:p w14:paraId="5BB733FA" w14:textId="77777777" w:rsidR="009F1D48" w:rsidRDefault="009F1D48">
            <w:pPr>
              <w:spacing w:before="40" w:after="40"/>
              <w:rPr>
                <w:rFonts w:ascii="Arial" w:hAnsi="Arial" w:cs="Arial"/>
                <w:sz w:val="22"/>
              </w:rPr>
            </w:pPr>
            <w:proofErr w:type="spellStart"/>
            <w:r>
              <w:rPr>
                <w:rFonts w:ascii="Arial" w:hAnsi="Arial" w:cs="Arial"/>
                <w:sz w:val="22"/>
              </w:rPr>
              <w:t>Grazia</w:t>
            </w:r>
            <w:proofErr w:type="spellEnd"/>
            <w:r>
              <w:rPr>
                <w:rFonts w:ascii="Arial" w:hAnsi="Arial" w:cs="Arial"/>
                <w:sz w:val="22"/>
              </w:rPr>
              <w:t xml:space="preserve"> </w:t>
            </w:r>
            <w:proofErr w:type="spellStart"/>
            <w:r>
              <w:rPr>
                <w:rFonts w:ascii="Arial" w:hAnsi="Arial" w:cs="Arial"/>
                <w:sz w:val="22"/>
              </w:rPr>
              <w:t>Borrini-Feyerabend</w:t>
            </w:r>
            <w:proofErr w:type="spellEnd"/>
          </w:p>
        </w:tc>
        <w:tc>
          <w:tcPr>
            <w:tcW w:w="6379" w:type="dxa"/>
            <w:shd w:val="clear" w:color="auto" w:fill="FFFFFF"/>
          </w:tcPr>
          <w:p w14:paraId="1E51EC7E" w14:textId="77777777" w:rsidR="009F1D48" w:rsidRDefault="009F1D48">
            <w:pPr>
              <w:pStyle w:val="BodyText3"/>
              <w:rPr>
                <w:sz w:val="22"/>
              </w:rPr>
            </w:pPr>
            <w:r>
              <w:rPr>
                <w:sz w:val="22"/>
              </w:rPr>
              <w:t>Commission on Environmental, Economic and Social Policy, IUCN – The World Conservation Union</w:t>
            </w:r>
          </w:p>
        </w:tc>
      </w:tr>
      <w:tr w:rsidR="009F1D48" w14:paraId="23343F41" w14:textId="77777777">
        <w:tc>
          <w:tcPr>
            <w:tcW w:w="2410" w:type="dxa"/>
            <w:shd w:val="clear" w:color="auto" w:fill="FFFFFF"/>
          </w:tcPr>
          <w:p w14:paraId="04DCA32C" w14:textId="77777777" w:rsidR="009F1D48" w:rsidRDefault="009F1D48">
            <w:pPr>
              <w:spacing w:before="40" w:after="40"/>
              <w:rPr>
                <w:rFonts w:ascii="Arial" w:hAnsi="Arial" w:cs="Arial"/>
                <w:sz w:val="22"/>
              </w:rPr>
            </w:pPr>
            <w:r>
              <w:rPr>
                <w:rFonts w:ascii="Arial" w:hAnsi="Arial" w:cs="Arial"/>
                <w:sz w:val="22"/>
              </w:rPr>
              <w:t xml:space="preserve">Geraldine </w:t>
            </w:r>
            <w:proofErr w:type="spellStart"/>
            <w:r>
              <w:rPr>
                <w:rFonts w:ascii="Arial" w:hAnsi="Arial" w:cs="Arial"/>
                <w:sz w:val="22"/>
              </w:rPr>
              <w:t>Chatelard</w:t>
            </w:r>
            <w:proofErr w:type="spellEnd"/>
          </w:p>
        </w:tc>
        <w:tc>
          <w:tcPr>
            <w:tcW w:w="6379" w:type="dxa"/>
            <w:shd w:val="clear" w:color="auto" w:fill="FFFFFF"/>
          </w:tcPr>
          <w:p w14:paraId="1F6C9246" w14:textId="77777777" w:rsidR="009F1D48" w:rsidRDefault="009F1D48">
            <w:pPr>
              <w:spacing w:before="40" w:after="40"/>
              <w:ind w:right="140"/>
              <w:rPr>
                <w:rFonts w:ascii="Arial" w:hAnsi="Arial" w:cs="Arial"/>
                <w:noProof/>
                <w:sz w:val="22"/>
              </w:rPr>
            </w:pPr>
            <w:r>
              <w:rPr>
                <w:rFonts w:ascii="Arial" w:hAnsi="Arial" w:cs="Arial"/>
                <w:sz w:val="22"/>
              </w:rPr>
              <w:t>European University Institute, Italy</w:t>
            </w:r>
          </w:p>
        </w:tc>
      </w:tr>
      <w:tr w:rsidR="009F1D48" w14:paraId="00B9CDE5" w14:textId="77777777">
        <w:tc>
          <w:tcPr>
            <w:tcW w:w="2410" w:type="dxa"/>
            <w:shd w:val="clear" w:color="auto" w:fill="FFFFFF"/>
          </w:tcPr>
          <w:p w14:paraId="266B6074" w14:textId="77777777" w:rsidR="009F1D48" w:rsidRDefault="009F1D48">
            <w:pPr>
              <w:spacing w:before="40" w:after="40"/>
              <w:rPr>
                <w:rFonts w:ascii="Arial" w:hAnsi="Arial" w:cs="Arial"/>
                <w:sz w:val="22"/>
              </w:rPr>
            </w:pPr>
            <w:r>
              <w:rPr>
                <w:rFonts w:ascii="Arial" w:hAnsi="Arial" w:cs="Arial"/>
                <w:sz w:val="22"/>
              </w:rPr>
              <w:t>Dawn Chatty</w:t>
            </w:r>
          </w:p>
        </w:tc>
        <w:tc>
          <w:tcPr>
            <w:tcW w:w="6379" w:type="dxa"/>
            <w:shd w:val="clear" w:color="auto" w:fill="FFFFFF"/>
          </w:tcPr>
          <w:p w14:paraId="006012B1" w14:textId="77777777" w:rsidR="009F1D48" w:rsidRDefault="009F1D48">
            <w:pPr>
              <w:spacing w:before="40" w:after="40"/>
              <w:ind w:right="140"/>
              <w:rPr>
                <w:rFonts w:ascii="Arial" w:hAnsi="Arial" w:cs="Arial"/>
                <w:sz w:val="22"/>
              </w:rPr>
            </w:pPr>
            <w:r>
              <w:rPr>
                <w:rFonts w:ascii="Arial" w:hAnsi="Arial" w:cs="Arial"/>
                <w:noProof/>
                <w:sz w:val="22"/>
              </w:rPr>
              <w:t>Refugee Studies Centre, University of Oxford, UK</w:t>
            </w:r>
          </w:p>
        </w:tc>
      </w:tr>
      <w:tr w:rsidR="009F1D48" w14:paraId="6B2C3AB3" w14:textId="77777777">
        <w:tc>
          <w:tcPr>
            <w:tcW w:w="2410" w:type="dxa"/>
            <w:shd w:val="clear" w:color="auto" w:fill="FFFFFF"/>
          </w:tcPr>
          <w:p w14:paraId="731C8981" w14:textId="77777777" w:rsidR="009F1D48" w:rsidRDefault="009F1D48">
            <w:pPr>
              <w:spacing w:before="40" w:after="40"/>
              <w:rPr>
                <w:rFonts w:ascii="Arial" w:hAnsi="Arial" w:cs="Arial"/>
                <w:sz w:val="22"/>
              </w:rPr>
            </w:pPr>
            <w:r>
              <w:rPr>
                <w:rFonts w:ascii="Arial" w:hAnsi="Arial" w:cs="Arial"/>
                <w:sz w:val="22"/>
              </w:rPr>
              <w:t>Marcus Colchester</w:t>
            </w:r>
          </w:p>
        </w:tc>
        <w:tc>
          <w:tcPr>
            <w:tcW w:w="6379" w:type="dxa"/>
            <w:shd w:val="clear" w:color="auto" w:fill="FFFFFF"/>
          </w:tcPr>
          <w:p w14:paraId="28D414BC" w14:textId="77777777" w:rsidR="009F1D48" w:rsidRDefault="009F1D48">
            <w:pPr>
              <w:pStyle w:val="Heading2"/>
              <w:rPr>
                <w:b w:val="0"/>
                <w:bCs w:val="0"/>
                <w:sz w:val="22"/>
              </w:rPr>
            </w:pPr>
            <w:r>
              <w:rPr>
                <w:b w:val="0"/>
                <w:bCs w:val="0"/>
                <w:sz w:val="22"/>
              </w:rPr>
              <w:t>Forest Peoples Programme</w:t>
            </w:r>
          </w:p>
        </w:tc>
      </w:tr>
      <w:tr w:rsidR="009F1D48" w14:paraId="1F667C84" w14:textId="77777777">
        <w:tc>
          <w:tcPr>
            <w:tcW w:w="2410" w:type="dxa"/>
            <w:shd w:val="clear" w:color="auto" w:fill="FFFFFF"/>
          </w:tcPr>
          <w:p w14:paraId="1AD4CD08" w14:textId="77777777" w:rsidR="009F1D48" w:rsidRDefault="009F1D48">
            <w:pPr>
              <w:spacing w:before="40" w:after="40"/>
              <w:rPr>
                <w:rFonts w:ascii="Arial" w:hAnsi="Arial" w:cs="Arial"/>
                <w:sz w:val="22"/>
              </w:rPr>
            </w:pPr>
            <w:r>
              <w:rPr>
                <w:rFonts w:ascii="Arial" w:hAnsi="Arial" w:cs="Arial"/>
                <w:sz w:val="22"/>
              </w:rPr>
              <w:t xml:space="preserve">Christo </w:t>
            </w:r>
            <w:proofErr w:type="spellStart"/>
            <w:r>
              <w:rPr>
                <w:rFonts w:ascii="Arial" w:hAnsi="Arial" w:cs="Arial"/>
                <w:sz w:val="22"/>
              </w:rPr>
              <w:t>Fabricius</w:t>
            </w:r>
            <w:proofErr w:type="spellEnd"/>
          </w:p>
        </w:tc>
        <w:tc>
          <w:tcPr>
            <w:tcW w:w="6379" w:type="dxa"/>
            <w:shd w:val="clear" w:color="auto" w:fill="FFFFFF"/>
          </w:tcPr>
          <w:p w14:paraId="70CA63E0" w14:textId="77777777" w:rsidR="009F1D48" w:rsidRDefault="009F1D48">
            <w:pPr>
              <w:spacing w:before="40" w:after="40"/>
              <w:ind w:right="140"/>
              <w:rPr>
                <w:rFonts w:ascii="Arial" w:hAnsi="Arial" w:cs="Arial"/>
                <w:sz w:val="22"/>
              </w:rPr>
            </w:pPr>
            <w:r>
              <w:rPr>
                <w:rFonts w:ascii="Arial" w:hAnsi="Arial" w:cs="Arial"/>
                <w:noProof/>
                <w:sz w:val="22"/>
              </w:rPr>
              <w:t>Environmental Science Programme, Rhodes University, South Africa</w:t>
            </w:r>
          </w:p>
        </w:tc>
      </w:tr>
      <w:tr w:rsidR="009F1D48" w14:paraId="596BE9A0" w14:textId="77777777">
        <w:tc>
          <w:tcPr>
            <w:tcW w:w="2410" w:type="dxa"/>
            <w:shd w:val="clear" w:color="auto" w:fill="FFFFFF"/>
          </w:tcPr>
          <w:p w14:paraId="39C39C69" w14:textId="77777777" w:rsidR="009F1D48" w:rsidRDefault="009F1D48">
            <w:pPr>
              <w:spacing w:before="40" w:after="40"/>
              <w:rPr>
                <w:rFonts w:ascii="Arial" w:hAnsi="Arial" w:cs="Arial"/>
                <w:sz w:val="22"/>
              </w:rPr>
            </w:pPr>
            <w:proofErr w:type="spellStart"/>
            <w:r>
              <w:rPr>
                <w:rFonts w:ascii="Arial" w:hAnsi="Arial" w:cs="Arial"/>
                <w:sz w:val="22"/>
              </w:rPr>
              <w:t>Taghi</w:t>
            </w:r>
            <w:proofErr w:type="spellEnd"/>
            <w:r>
              <w:rPr>
                <w:rFonts w:ascii="Arial" w:hAnsi="Arial" w:cs="Arial"/>
                <w:sz w:val="22"/>
              </w:rPr>
              <w:t xml:space="preserve"> </w:t>
            </w:r>
            <w:proofErr w:type="spellStart"/>
            <w:r>
              <w:rPr>
                <w:rFonts w:ascii="Arial" w:hAnsi="Arial" w:cs="Arial"/>
                <w:sz w:val="22"/>
              </w:rPr>
              <w:t>Farvar</w:t>
            </w:r>
            <w:proofErr w:type="spellEnd"/>
          </w:p>
        </w:tc>
        <w:tc>
          <w:tcPr>
            <w:tcW w:w="6379" w:type="dxa"/>
            <w:shd w:val="clear" w:color="auto" w:fill="FFFFFF"/>
          </w:tcPr>
          <w:p w14:paraId="2054346C" w14:textId="77777777" w:rsidR="009F1D48" w:rsidRDefault="009F1D48">
            <w:pPr>
              <w:pStyle w:val="FootnoteText"/>
              <w:spacing w:before="40" w:after="40"/>
              <w:rPr>
                <w:rFonts w:ascii="Arial" w:hAnsi="Arial" w:cs="Arial"/>
                <w:sz w:val="22"/>
                <w:szCs w:val="24"/>
              </w:rPr>
            </w:pPr>
            <w:r>
              <w:rPr>
                <w:rFonts w:ascii="Arial" w:hAnsi="Arial" w:cs="Arial"/>
                <w:sz w:val="22"/>
                <w:szCs w:val="24"/>
              </w:rPr>
              <w:t>Commission on Environmental, Economic and Social Policy, IUCN – The World Conservation Union</w:t>
            </w:r>
          </w:p>
        </w:tc>
      </w:tr>
      <w:tr w:rsidR="009F1D48" w14:paraId="19724BA6" w14:textId="77777777">
        <w:tc>
          <w:tcPr>
            <w:tcW w:w="2410" w:type="dxa"/>
            <w:shd w:val="clear" w:color="auto" w:fill="FFFFFF"/>
          </w:tcPr>
          <w:p w14:paraId="1BEE8987" w14:textId="77777777" w:rsidR="009F1D48" w:rsidRDefault="009F1D48">
            <w:pPr>
              <w:spacing w:before="40" w:after="40"/>
              <w:rPr>
                <w:rFonts w:ascii="Arial" w:hAnsi="Arial" w:cs="Arial"/>
                <w:sz w:val="22"/>
              </w:rPr>
            </w:pPr>
            <w:r>
              <w:rPr>
                <w:rFonts w:ascii="Arial" w:hAnsi="Arial" w:cs="Arial"/>
                <w:sz w:val="22"/>
              </w:rPr>
              <w:t>Patricia Feeney</w:t>
            </w:r>
          </w:p>
        </w:tc>
        <w:tc>
          <w:tcPr>
            <w:tcW w:w="6379" w:type="dxa"/>
            <w:shd w:val="clear" w:color="auto" w:fill="FFFFFF"/>
          </w:tcPr>
          <w:p w14:paraId="291EB0D3" w14:textId="77777777" w:rsidR="009F1D48" w:rsidRDefault="009F1D48">
            <w:pPr>
              <w:spacing w:before="40" w:after="40"/>
              <w:rPr>
                <w:rFonts w:ascii="Arial" w:hAnsi="Arial" w:cs="Arial"/>
                <w:sz w:val="22"/>
              </w:rPr>
            </w:pPr>
            <w:r>
              <w:rPr>
                <w:rFonts w:ascii="Arial" w:hAnsi="Arial" w:cs="Arial"/>
                <w:sz w:val="22"/>
              </w:rPr>
              <w:t>Rights and Accountability in Development- RAID, UK</w:t>
            </w:r>
          </w:p>
        </w:tc>
      </w:tr>
      <w:tr w:rsidR="009F1D48" w14:paraId="492117FF" w14:textId="77777777">
        <w:tc>
          <w:tcPr>
            <w:tcW w:w="2410" w:type="dxa"/>
            <w:shd w:val="clear" w:color="auto" w:fill="FFFFFF"/>
          </w:tcPr>
          <w:p w14:paraId="50CCCD3C" w14:textId="77777777" w:rsidR="009F1D48" w:rsidRDefault="009F1D48">
            <w:pPr>
              <w:spacing w:before="40" w:after="40"/>
              <w:rPr>
                <w:rFonts w:ascii="Arial" w:hAnsi="Arial" w:cs="Arial"/>
                <w:sz w:val="22"/>
              </w:rPr>
            </w:pPr>
            <w:r>
              <w:rPr>
                <w:rFonts w:ascii="Arial" w:hAnsi="Arial" w:cs="Arial"/>
                <w:sz w:val="22"/>
              </w:rPr>
              <w:t>Graham Griffin</w:t>
            </w:r>
          </w:p>
        </w:tc>
        <w:tc>
          <w:tcPr>
            <w:tcW w:w="6379" w:type="dxa"/>
            <w:shd w:val="clear" w:color="auto" w:fill="FFFFFF"/>
          </w:tcPr>
          <w:p w14:paraId="5BEA5DE6" w14:textId="77777777" w:rsidR="009F1D48" w:rsidRDefault="009F1D48">
            <w:pPr>
              <w:spacing w:before="40" w:after="40"/>
              <w:ind w:right="140"/>
              <w:rPr>
                <w:rFonts w:ascii="Arial" w:hAnsi="Arial" w:cs="Arial"/>
                <w:noProof/>
                <w:sz w:val="22"/>
              </w:rPr>
            </w:pPr>
            <w:r>
              <w:rPr>
                <w:rFonts w:ascii="Arial" w:hAnsi="Arial" w:cs="Arial"/>
                <w:noProof/>
                <w:sz w:val="22"/>
              </w:rPr>
              <w:t>Centre for Arid Zone Research, Commonwealth Scientific and Industrial Research Organisation, Australia</w:t>
            </w:r>
          </w:p>
        </w:tc>
      </w:tr>
      <w:tr w:rsidR="009F1D48" w14:paraId="3426A116" w14:textId="77777777">
        <w:tc>
          <w:tcPr>
            <w:tcW w:w="2410" w:type="dxa"/>
            <w:shd w:val="clear" w:color="auto" w:fill="FFFFFF"/>
          </w:tcPr>
          <w:p w14:paraId="15A26A81" w14:textId="77777777" w:rsidR="009F1D48" w:rsidRDefault="009F1D48">
            <w:pPr>
              <w:spacing w:before="40" w:after="40"/>
              <w:rPr>
                <w:rFonts w:ascii="Arial" w:hAnsi="Arial" w:cs="Arial"/>
                <w:sz w:val="22"/>
              </w:rPr>
            </w:pPr>
            <w:r>
              <w:rPr>
                <w:rFonts w:ascii="Arial" w:hAnsi="Arial" w:cs="Arial"/>
                <w:iCs/>
                <w:sz w:val="22"/>
              </w:rPr>
              <w:t>Garth</w:t>
            </w:r>
            <w:r>
              <w:rPr>
                <w:rFonts w:ascii="Arial" w:hAnsi="Arial" w:cs="Arial"/>
                <w:sz w:val="22"/>
              </w:rPr>
              <w:t xml:space="preserve"> Owen-Smith</w:t>
            </w:r>
          </w:p>
        </w:tc>
        <w:tc>
          <w:tcPr>
            <w:tcW w:w="6379" w:type="dxa"/>
            <w:shd w:val="clear" w:color="auto" w:fill="FFFFFF"/>
          </w:tcPr>
          <w:p w14:paraId="12DC9AAD" w14:textId="77777777" w:rsidR="009F1D48" w:rsidRDefault="009F1D48">
            <w:pPr>
              <w:spacing w:before="40" w:after="40"/>
              <w:rPr>
                <w:rFonts w:ascii="Arial" w:hAnsi="Arial" w:cs="Arial"/>
                <w:sz w:val="22"/>
              </w:rPr>
            </w:pPr>
            <w:r>
              <w:rPr>
                <w:rFonts w:ascii="Arial" w:hAnsi="Arial" w:cs="Arial"/>
                <w:sz w:val="22"/>
              </w:rPr>
              <w:t>Integrated Rural Development and Nature Conservation, Namibia</w:t>
            </w:r>
          </w:p>
        </w:tc>
      </w:tr>
      <w:tr w:rsidR="009F1D48" w14:paraId="0561A72C" w14:textId="77777777">
        <w:tc>
          <w:tcPr>
            <w:tcW w:w="2410" w:type="dxa"/>
            <w:shd w:val="clear" w:color="auto" w:fill="FFFFFF"/>
          </w:tcPr>
          <w:p w14:paraId="48FE9259" w14:textId="77777777" w:rsidR="009F1D48" w:rsidRDefault="009F1D48">
            <w:pPr>
              <w:spacing w:before="40" w:after="40"/>
              <w:rPr>
                <w:rFonts w:ascii="Arial" w:hAnsi="Arial" w:cs="Arial"/>
                <w:iCs/>
                <w:sz w:val="22"/>
              </w:rPr>
            </w:pPr>
            <w:r>
              <w:rPr>
                <w:rFonts w:ascii="Arial" w:hAnsi="Arial" w:cs="Arial"/>
                <w:sz w:val="22"/>
              </w:rPr>
              <w:t xml:space="preserve">Margaret </w:t>
            </w:r>
            <w:proofErr w:type="spellStart"/>
            <w:r>
              <w:rPr>
                <w:rFonts w:ascii="Arial" w:hAnsi="Arial" w:cs="Arial"/>
                <w:sz w:val="22"/>
              </w:rPr>
              <w:t>Jacobsohn</w:t>
            </w:r>
            <w:proofErr w:type="spellEnd"/>
            <w:r>
              <w:rPr>
                <w:rFonts w:ascii="Arial" w:hAnsi="Arial" w:cs="Arial"/>
                <w:sz w:val="22"/>
              </w:rPr>
              <w:t xml:space="preserve"> </w:t>
            </w:r>
          </w:p>
        </w:tc>
        <w:tc>
          <w:tcPr>
            <w:tcW w:w="6379" w:type="dxa"/>
            <w:shd w:val="clear" w:color="auto" w:fill="FFFFFF"/>
          </w:tcPr>
          <w:p w14:paraId="69413380" w14:textId="77777777" w:rsidR="009F1D48" w:rsidRDefault="009F1D48">
            <w:pPr>
              <w:spacing w:before="40" w:after="40"/>
              <w:rPr>
                <w:rFonts w:ascii="Arial" w:hAnsi="Arial" w:cs="Arial"/>
                <w:sz w:val="22"/>
              </w:rPr>
            </w:pPr>
            <w:r>
              <w:rPr>
                <w:rFonts w:ascii="Arial" w:hAnsi="Arial" w:cs="Arial"/>
                <w:sz w:val="22"/>
              </w:rPr>
              <w:t>Integrated Rural Development and Nature Conservation, Namibia</w:t>
            </w:r>
          </w:p>
        </w:tc>
      </w:tr>
      <w:tr w:rsidR="009F1D48" w14:paraId="7A91A0C7" w14:textId="77777777">
        <w:tc>
          <w:tcPr>
            <w:tcW w:w="2410" w:type="dxa"/>
            <w:shd w:val="clear" w:color="auto" w:fill="FFFFFF"/>
          </w:tcPr>
          <w:p w14:paraId="0E56E528" w14:textId="77777777" w:rsidR="009F1D48" w:rsidRDefault="009F1D48">
            <w:pPr>
              <w:spacing w:before="40" w:after="40"/>
              <w:rPr>
                <w:rFonts w:ascii="Arial" w:hAnsi="Arial" w:cs="Arial"/>
                <w:sz w:val="22"/>
              </w:rPr>
            </w:pPr>
            <w:r>
              <w:rPr>
                <w:rFonts w:ascii="Arial" w:hAnsi="Arial" w:cs="Arial"/>
                <w:sz w:val="22"/>
              </w:rPr>
              <w:t>Chris Johnson</w:t>
            </w:r>
          </w:p>
        </w:tc>
        <w:tc>
          <w:tcPr>
            <w:tcW w:w="6379" w:type="dxa"/>
            <w:shd w:val="clear" w:color="auto" w:fill="FFFFFF"/>
          </w:tcPr>
          <w:p w14:paraId="36A1DC6A" w14:textId="77777777" w:rsidR="009F1D48" w:rsidRDefault="009F1D48">
            <w:pPr>
              <w:spacing w:before="40" w:after="40"/>
              <w:ind w:right="140"/>
              <w:rPr>
                <w:rFonts w:ascii="Arial" w:hAnsi="Arial" w:cs="Arial"/>
                <w:sz w:val="22"/>
              </w:rPr>
            </w:pPr>
            <w:r>
              <w:rPr>
                <w:rFonts w:ascii="Arial" w:hAnsi="Arial" w:cs="Arial"/>
                <w:noProof/>
                <w:sz w:val="22"/>
              </w:rPr>
              <w:t>Royal Society for the Conservation of Nature, Jordan</w:t>
            </w:r>
          </w:p>
        </w:tc>
      </w:tr>
      <w:tr w:rsidR="009F1D48" w14:paraId="26CD48BB" w14:textId="77777777">
        <w:tc>
          <w:tcPr>
            <w:tcW w:w="2410" w:type="dxa"/>
            <w:shd w:val="clear" w:color="auto" w:fill="FFFFFF"/>
          </w:tcPr>
          <w:p w14:paraId="3FD1DD11" w14:textId="77777777" w:rsidR="009F1D48" w:rsidRDefault="009F1D48">
            <w:pPr>
              <w:spacing w:before="40" w:after="40"/>
              <w:rPr>
                <w:rFonts w:ascii="Arial" w:hAnsi="Arial" w:cs="Arial"/>
                <w:sz w:val="22"/>
              </w:rPr>
            </w:pPr>
            <w:proofErr w:type="spellStart"/>
            <w:r>
              <w:rPr>
                <w:rFonts w:ascii="Arial" w:hAnsi="Arial" w:cs="Arial"/>
                <w:sz w:val="22"/>
              </w:rPr>
              <w:t>Ilse</w:t>
            </w:r>
            <w:proofErr w:type="spellEnd"/>
            <w:r>
              <w:rPr>
                <w:rFonts w:ascii="Arial" w:hAnsi="Arial" w:cs="Arial"/>
                <w:sz w:val="22"/>
              </w:rPr>
              <w:t xml:space="preserve"> </w:t>
            </w:r>
            <w:proofErr w:type="spellStart"/>
            <w:r>
              <w:rPr>
                <w:rFonts w:ascii="Arial" w:hAnsi="Arial" w:cs="Arial"/>
                <w:sz w:val="22"/>
              </w:rPr>
              <w:t>Köhler-Rollefson</w:t>
            </w:r>
            <w:proofErr w:type="spellEnd"/>
          </w:p>
        </w:tc>
        <w:tc>
          <w:tcPr>
            <w:tcW w:w="6379" w:type="dxa"/>
            <w:shd w:val="clear" w:color="auto" w:fill="FFFFFF"/>
          </w:tcPr>
          <w:p w14:paraId="711AA8DE" w14:textId="77777777" w:rsidR="009F1D48" w:rsidRDefault="009F1D48">
            <w:pPr>
              <w:spacing w:before="40" w:after="40"/>
              <w:ind w:right="140"/>
              <w:rPr>
                <w:rFonts w:ascii="Arial" w:hAnsi="Arial" w:cs="Arial"/>
                <w:sz w:val="22"/>
              </w:rPr>
            </w:pPr>
            <w:r>
              <w:rPr>
                <w:rFonts w:ascii="Arial" w:hAnsi="Arial" w:cs="Arial"/>
                <w:noProof/>
                <w:sz w:val="22"/>
              </w:rPr>
              <w:t>League for Pastoral Peoples, India</w:t>
            </w:r>
          </w:p>
        </w:tc>
      </w:tr>
      <w:tr w:rsidR="009F1D48" w14:paraId="5682D0B4" w14:textId="77777777">
        <w:tc>
          <w:tcPr>
            <w:tcW w:w="2410" w:type="dxa"/>
            <w:shd w:val="clear" w:color="auto" w:fill="FFFFFF"/>
          </w:tcPr>
          <w:p w14:paraId="2C6BFFFB" w14:textId="77777777" w:rsidR="009F1D48" w:rsidRDefault="009F1D48">
            <w:pPr>
              <w:spacing w:before="40" w:after="40"/>
              <w:rPr>
                <w:rFonts w:ascii="Arial" w:hAnsi="Arial" w:cs="Arial"/>
                <w:sz w:val="22"/>
              </w:rPr>
            </w:pPr>
            <w:r>
              <w:rPr>
                <w:rFonts w:ascii="Arial" w:hAnsi="Arial" w:cs="Arial"/>
                <w:sz w:val="22"/>
              </w:rPr>
              <w:t>Terrence McCabe</w:t>
            </w:r>
          </w:p>
        </w:tc>
        <w:tc>
          <w:tcPr>
            <w:tcW w:w="6379" w:type="dxa"/>
            <w:shd w:val="clear" w:color="auto" w:fill="FFFFFF"/>
          </w:tcPr>
          <w:p w14:paraId="4648160D" w14:textId="77777777" w:rsidR="009F1D48" w:rsidRDefault="009F1D48">
            <w:pPr>
              <w:spacing w:before="40" w:after="40"/>
              <w:ind w:right="140"/>
              <w:rPr>
                <w:rFonts w:ascii="Arial" w:hAnsi="Arial" w:cs="Arial"/>
                <w:sz w:val="22"/>
              </w:rPr>
            </w:pPr>
            <w:r>
              <w:rPr>
                <w:rFonts w:ascii="Arial" w:hAnsi="Arial" w:cs="Arial"/>
                <w:noProof/>
                <w:sz w:val="22"/>
              </w:rPr>
              <w:t>Department of Anthropology, University of Colorado, USA</w:t>
            </w:r>
          </w:p>
        </w:tc>
      </w:tr>
      <w:tr w:rsidR="009F1D48" w14:paraId="781D611C" w14:textId="77777777">
        <w:tc>
          <w:tcPr>
            <w:tcW w:w="2410" w:type="dxa"/>
            <w:shd w:val="clear" w:color="auto" w:fill="FFFFFF"/>
          </w:tcPr>
          <w:p w14:paraId="738D7D60" w14:textId="77777777" w:rsidR="009F1D48" w:rsidRDefault="009F1D48">
            <w:pPr>
              <w:spacing w:before="40" w:after="40"/>
              <w:rPr>
                <w:rFonts w:ascii="Arial" w:hAnsi="Arial" w:cs="Arial"/>
                <w:sz w:val="22"/>
              </w:rPr>
            </w:pPr>
            <w:r>
              <w:rPr>
                <w:rFonts w:ascii="Arial" w:hAnsi="Arial" w:cs="Arial"/>
                <w:sz w:val="22"/>
              </w:rPr>
              <w:t>Jeff McNeely</w:t>
            </w:r>
          </w:p>
        </w:tc>
        <w:tc>
          <w:tcPr>
            <w:tcW w:w="6379" w:type="dxa"/>
            <w:shd w:val="clear" w:color="auto" w:fill="FFFFFF"/>
          </w:tcPr>
          <w:p w14:paraId="160FD2F9" w14:textId="77777777" w:rsidR="009F1D48" w:rsidRDefault="009F1D48">
            <w:pPr>
              <w:pStyle w:val="Heading2"/>
              <w:rPr>
                <w:b w:val="0"/>
                <w:bCs w:val="0"/>
                <w:sz w:val="22"/>
              </w:rPr>
            </w:pPr>
            <w:r>
              <w:rPr>
                <w:b w:val="0"/>
                <w:bCs w:val="0"/>
                <w:sz w:val="22"/>
              </w:rPr>
              <w:t>IUCN - The World Conservation Union</w:t>
            </w:r>
          </w:p>
        </w:tc>
      </w:tr>
      <w:tr w:rsidR="009F1D48" w14:paraId="4FF56CEB" w14:textId="77777777">
        <w:tc>
          <w:tcPr>
            <w:tcW w:w="2410" w:type="dxa"/>
            <w:shd w:val="clear" w:color="auto" w:fill="FFFFFF"/>
          </w:tcPr>
          <w:p w14:paraId="1A237A64" w14:textId="77777777" w:rsidR="009F1D48" w:rsidRDefault="009F1D48">
            <w:pPr>
              <w:pStyle w:val="Heading1"/>
              <w:rPr>
                <w:b w:val="0"/>
                <w:bCs w:val="0"/>
                <w:sz w:val="22"/>
              </w:rPr>
            </w:pPr>
            <w:r>
              <w:rPr>
                <w:b w:val="0"/>
                <w:bCs w:val="0"/>
                <w:sz w:val="22"/>
              </w:rPr>
              <w:t xml:space="preserve">Helen </w:t>
            </w:r>
            <w:proofErr w:type="spellStart"/>
            <w:r>
              <w:rPr>
                <w:b w:val="0"/>
                <w:bCs w:val="0"/>
                <w:sz w:val="22"/>
              </w:rPr>
              <w:t>Newing</w:t>
            </w:r>
            <w:proofErr w:type="spellEnd"/>
          </w:p>
        </w:tc>
        <w:tc>
          <w:tcPr>
            <w:tcW w:w="6379" w:type="dxa"/>
            <w:shd w:val="clear" w:color="auto" w:fill="FFFFFF"/>
          </w:tcPr>
          <w:p w14:paraId="5E1B14AF" w14:textId="77777777" w:rsidR="009F1D48" w:rsidRDefault="009F1D48">
            <w:pPr>
              <w:spacing w:before="40" w:after="40"/>
              <w:ind w:right="140"/>
              <w:rPr>
                <w:rFonts w:ascii="Arial" w:hAnsi="Arial" w:cs="Arial"/>
                <w:sz w:val="22"/>
              </w:rPr>
            </w:pPr>
            <w:r>
              <w:rPr>
                <w:rFonts w:ascii="Arial" w:hAnsi="Arial" w:cs="Arial"/>
                <w:noProof/>
                <w:sz w:val="22"/>
              </w:rPr>
              <w:t>Durrell Institute of Conservation and Ecology, University of Kent at Canterbury, UK</w:t>
            </w:r>
          </w:p>
        </w:tc>
      </w:tr>
      <w:tr w:rsidR="009F1D48" w14:paraId="492EAADD" w14:textId="77777777">
        <w:tc>
          <w:tcPr>
            <w:tcW w:w="2410" w:type="dxa"/>
            <w:shd w:val="clear" w:color="auto" w:fill="FFFFFF"/>
          </w:tcPr>
          <w:p w14:paraId="15604A11" w14:textId="77777777" w:rsidR="009F1D48" w:rsidRDefault="009F1D48">
            <w:pPr>
              <w:spacing w:before="40" w:after="40"/>
              <w:rPr>
                <w:rFonts w:ascii="Arial" w:hAnsi="Arial" w:cs="Arial"/>
                <w:sz w:val="22"/>
              </w:rPr>
            </w:pPr>
            <w:r>
              <w:rPr>
                <w:rFonts w:ascii="Arial" w:hAnsi="Arial" w:cs="Arial"/>
                <w:sz w:val="22"/>
              </w:rPr>
              <w:t>Gonzalo Oviedo</w:t>
            </w:r>
          </w:p>
        </w:tc>
        <w:tc>
          <w:tcPr>
            <w:tcW w:w="6379" w:type="dxa"/>
            <w:shd w:val="clear" w:color="auto" w:fill="FFFFFF"/>
          </w:tcPr>
          <w:p w14:paraId="2A0627B9" w14:textId="77777777" w:rsidR="009F1D48" w:rsidRDefault="009F1D48">
            <w:pPr>
              <w:spacing w:before="40" w:after="40"/>
              <w:ind w:right="140"/>
              <w:rPr>
                <w:rFonts w:ascii="Arial" w:hAnsi="Arial" w:cs="Arial"/>
                <w:sz w:val="22"/>
              </w:rPr>
            </w:pPr>
            <w:r>
              <w:rPr>
                <w:rFonts w:ascii="Arial" w:hAnsi="Arial" w:cs="Arial"/>
                <w:sz w:val="22"/>
              </w:rPr>
              <w:t>International Consultant on People and Conservation</w:t>
            </w:r>
          </w:p>
        </w:tc>
      </w:tr>
      <w:tr w:rsidR="009F1D48" w14:paraId="30241DED" w14:textId="77777777">
        <w:tc>
          <w:tcPr>
            <w:tcW w:w="2410" w:type="dxa"/>
            <w:shd w:val="clear" w:color="auto" w:fill="FFFFFF"/>
          </w:tcPr>
          <w:p w14:paraId="1E5DC524" w14:textId="77777777" w:rsidR="009F1D48" w:rsidRDefault="009F1D48">
            <w:pPr>
              <w:spacing w:before="40" w:after="40"/>
              <w:rPr>
                <w:rFonts w:ascii="Arial" w:hAnsi="Arial" w:cs="Arial"/>
                <w:sz w:val="22"/>
              </w:rPr>
            </w:pPr>
            <w:r>
              <w:rPr>
                <w:rFonts w:ascii="Arial" w:hAnsi="Arial" w:cs="Arial"/>
                <w:sz w:val="22"/>
              </w:rPr>
              <w:t>Adrian Phillips</w:t>
            </w:r>
          </w:p>
        </w:tc>
        <w:tc>
          <w:tcPr>
            <w:tcW w:w="6379" w:type="dxa"/>
            <w:shd w:val="clear" w:color="auto" w:fill="FFFFFF"/>
          </w:tcPr>
          <w:p w14:paraId="0E60BC4A" w14:textId="77777777" w:rsidR="009F1D48" w:rsidRDefault="009F1D48">
            <w:pPr>
              <w:spacing w:before="40" w:after="40"/>
              <w:ind w:right="140"/>
              <w:rPr>
                <w:rFonts w:ascii="Arial" w:hAnsi="Arial" w:cs="Arial"/>
                <w:sz w:val="22"/>
              </w:rPr>
            </w:pPr>
            <w:r>
              <w:rPr>
                <w:rFonts w:ascii="Arial" w:hAnsi="Arial" w:cs="Arial"/>
                <w:sz w:val="22"/>
              </w:rPr>
              <w:t>Former Chair of the World Commission on Protected Areas of IUCN</w:t>
            </w:r>
          </w:p>
        </w:tc>
      </w:tr>
      <w:tr w:rsidR="009F1D48" w14:paraId="03493008" w14:textId="77777777">
        <w:tc>
          <w:tcPr>
            <w:tcW w:w="2410" w:type="dxa"/>
            <w:shd w:val="clear" w:color="auto" w:fill="FFFFFF"/>
          </w:tcPr>
          <w:p w14:paraId="749CEC07" w14:textId="77777777" w:rsidR="009F1D48" w:rsidRDefault="009F1D48">
            <w:pPr>
              <w:pStyle w:val="FootnoteText"/>
              <w:spacing w:before="40" w:after="40"/>
              <w:rPr>
                <w:rFonts w:ascii="Arial" w:hAnsi="Arial" w:cs="Arial"/>
                <w:sz w:val="22"/>
                <w:szCs w:val="24"/>
              </w:rPr>
            </w:pPr>
            <w:r>
              <w:rPr>
                <w:rFonts w:ascii="Arial" w:hAnsi="Arial" w:cs="Arial"/>
                <w:sz w:val="22"/>
                <w:szCs w:val="24"/>
              </w:rPr>
              <w:t xml:space="preserve">Mohammad </w:t>
            </w:r>
            <w:proofErr w:type="spellStart"/>
            <w:r>
              <w:rPr>
                <w:rFonts w:ascii="Arial" w:hAnsi="Arial" w:cs="Arial"/>
                <w:sz w:val="22"/>
                <w:szCs w:val="24"/>
              </w:rPr>
              <w:t>Qawabah</w:t>
            </w:r>
            <w:proofErr w:type="spellEnd"/>
            <w:r>
              <w:rPr>
                <w:rFonts w:ascii="Arial" w:hAnsi="Arial" w:cs="Arial"/>
                <w:sz w:val="22"/>
                <w:szCs w:val="24"/>
              </w:rPr>
              <w:t xml:space="preserve"> </w:t>
            </w:r>
          </w:p>
        </w:tc>
        <w:tc>
          <w:tcPr>
            <w:tcW w:w="6379" w:type="dxa"/>
            <w:shd w:val="clear" w:color="auto" w:fill="FFFFFF"/>
          </w:tcPr>
          <w:p w14:paraId="4317CE11" w14:textId="77777777" w:rsidR="009F1D48" w:rsidRDefault="009F1D48">
            <w:pPr>
              <w:spacing w:before="40" w:after="40"/>
              <w:ind w:right="140"/>
              <w:rPr>
                <w:rFonts w:ascii="Arial" w:hAnsi="Arial" w:cs="Arial"/>
                <w:sz w:val="22"/>
              </w:rPr>
            </w:pPr>
            <w:r>
              <w:rPr>
                <w:rFonts w:ascii="Arial" w:hAnsi="Arial" w:cs="Arial"/>
                <w:noProof/>
                <w:sz w:val="22"/>
              </w:rPr>
              <w:t xml:space="preserve">Royal Society for the Conservation of Nature, Jordan </w:t>
            </w:r>
          </w:p>
        </w:tc>
      </w:tr>
      <w:tr w:rsidR="009F1D48" w14:paraId="35187E3D" w14:textId="77777777">
        <w:trPr>
          <w:trHeight w:val="235"/>
        </w:trPr>
        <w:tc>
          <w:tcPr>
            <w:tcW w:w="2410" w:type="dxa"/>
            <w:shd w:val="clear" w:color="auto" w:fill="FFFFFF"/>
          </w:tcPr>
          <w:p w14:paraId="29C44BD2" w14:textId="77777777" w:rsidR="009F1D48" w:rsidRDefault="009F1D48">
            <w:pPr>
              <w:spacing w:before="40" w:after="40"/>
              <w:rPr>
                <w:rFonts w:ascii="Arial" w:hAnsi="Arial" w:cs="Arial"/>
                <w:sz w:val="22"/>
              </w:rPr>
            </w:pPr>
            <w:proofErr w:type="spellStart"/>
            <w:r>
              <w:rPr>
                <w:rFonts w:ascii="Arial" w:hAnsi="Arial" w:cs="Arial"/>
                <w:sz w:val="22"/>
              </w:rPr>
              <w:t>Flavien</w:t>
            </w:r>
            <w:proofErr w:type="spellEnd"/>
            <w:r>
              <w:rPr>
                <w:rFonts w:ascii="Arial" w:hAnsi="Arial" w:cs="Arial"/>
                <w:sz w:val="22"/>
              </w:rPr>
              <w:t xml:space="preserve"> </w:t>
            </w:r>
            <w:proofErr w:type="spellStart"/>
            <w:r>
              <w:rPr>
                <w:rFonts w:ascii="Arial" w:hAnsi="Arial" w:cs="Arial"/>
                <w:sz w:val="22"/>
              </w:rPr>
              <w:t>Rebara</w:t>
            </w:r>
            <w:proofErr w:type="spellEnd"/>
          </w:p>
        </w:tc>
        <w:tc>
          <w:tcPr>
            <w:tcW w:w="6379" w:type="dxa"/>
            <w:shd w:val="clear" w:color="auto" w:fill="FFFFFF"/>
          </w:tcPr>
          <w:p w14:paraId="6A9D7182" w14:textId="77777777" w:rsidR="009F1D48" w:rsidRDefault="009F1D48">
            <w:pPr>
              <w:pStyle w:val="FootnoteText"/>
              <w:spacing w:before="40" w:after="40"/>
              <w:rPr>
                <w:rFonts w:ascii="Arial" w:hAnsi="Arial" w:cs="Arial"/>
                <w:noProof/>
                <w:sz w:val="22"/>
                <w:szCs w:val="24"/>
              </w:rPr>
            </w:pPr>
            <w:r>
              <w:rPr>
                <w:rFonts w:ascii="Arial" w:hAnsi="Arial" w:cs="Arial"/>
                <w:noProof/>
                <w:sz w:val="22"/>
                <w:szCs w:val="24"/>
              </w:rPr>
              <w:t xml:space="preserve">Worldwide Fund for Nature – WWF, Madagascar </w:t>
            </w:r>
          </w:p>
        </w:tc>
      </w:tr>
      <w:tr w:rsidR="009F1D48" w14:paraId="645D3A2C" w14:textId="77777777">
        <w:tc>
          <w:tcPr>
            <w:tcW w:w="2410" w:type="dxa"/>
            <w:shd w:val="clear" w:color="auto" w:fill="FFFFFF"/>
          </w:tcPr>
          <w:p w14:paraId="07AFC73A" w14:textId="77777777" w:rsidR="009F1D48" w:rsidRDefault="009F1D48">
            <w:pPr>
              <w:spacing w:before="40" w:after="40"/>
              <w:rPr>
                <w:rFonts w:ascii="Arial" w:hAnsi="Arial" w:cs="Arial"/>
                <w:sz w:val="22"/>
              </w:rPr>
            </w:pPr>
            <w:r>
              <w:rPr>
                <w:rFonts w:ascii="Arial" w:hAnsi="Arial" w:cs="Arial"/>
                <w:sz w:val="22"/>
              </w:rPr>
              <w:t>Alan Rowe</w:t>
            </w:r>
          </w:p>
        </w:tc>
        <w:tc>
          <w:tcPr>
            <w:tcW w:w="6379" w:type="dxa"/>
            <w:shd w:val="clear" w:color="auto" w:fill="FFFFFF"/>
          </w:tcPr>
          <w:p w14:paraId="7D7AA01B" w14:textId="77777777" w:rsidR="009F1D48" w:rsidRDefault="009F1D48">
            <w:pPr>
              <w:spacing w:before="40" w:after="40"/>
              <w:rPr>
                <w:rFonts w:ascii="Arial" w:hAnsi="Arial" w:cs="Arial"/>
                <w:sz w:val="22"/>
              </w:rPr>
            </w:pPr>
            <w:r>
              <w:rPr>
                <w:rFonts w:ascii="Arial" w:hAnsi="Arial" w:cs="Arial"/>
                <w:sz w:val="22"/>
              </w:rPr>
              <w:t>Department of Geography, University of Glasgow, UK</w:t>
            </w:r>
          </w:p>
        </w:tc>
      </w:tr>
      <w:tr w:rsidR="009F1D48" w14:paraId="7031A5FB" w14:textId="77777777">
        <w:tc>
          <w:tcPr>
            <w:tcW w:w="2410" w:type="dxa"/>
            <w:shd w:val="clear" w:color="auto" w:fill="FFFFFF"/>
          </w:tcPr>
          <w:p w14:paraId="678D8851" w14:textId="77777777" w:rsidR="009F1D48" w:rsidRDefault="009F1D48">
            <w:pPr>
              <w:spacing w:before="40" w:after="40"/>
              <w:rPr>
                <w:rFonts w:ascii="Arial" w:hAnsi="Arial" w:cs="Arial"/>
                <w:sz w:val="22"/>
              </w:rPr>
            </w:pPr>
            <w:r>
              <w:rPr>
                <w:rFonts w:ascii="Arial" w:hAnsi="Arial" w:cs="Arial"/>
                <w:sz w:val="22"/>
              </w:rPr>
              <w:t>Sabine Schmidt</w:t>
            </w:r>
          </w:p>
        </w:tc>
        <w:tc>
          <w:tcPr>
            <w:tcW w:w="6379" w:type="dxa"/>
            <w:shd w:val="clear" w:color="auto" w:fill="FFFFFF"/>
          </w:tcPr>
          <w:p w14:paraId="3BB37F91" w14:textId="77777777" w:rsidR="009F1D48" w:rsidRDefault="009F1D48">
            <w:pPr>
              <w:spacing w:before="40" w:after="40"/>
              <w:rPr>
                <w:rFonts w:ascii="Arial" w:hAnsi="Arial" w:cs="Arial"/>
                <w:sz w:val="22"/>
              </w:rPr>
            </w:pPr>
            <w:r>
              <w:rPr>
                <w:rFonts w:ascii="Arial" w:hAnsi="Arial" w:cs="Arial"/>
                <w:sz w:val="22"/>
              </w:rPr>
              <w:t xml:space="preserve">GTZ, Project Nature Conservation and </w:t>
            </w:r>
            <w:proofErr w:type="spellStart"/>
            <w:r>
              <w:rPr>
                <w:rFonts w:ascii="Arial" w:hAnsi="Arial" w:cs="Arial"/>
                <w:sz w:val="22"/>
              </w:rPr>
              <w:t>Bufferzone</w:t>
            </w:r>
            <w:proofErr w:type="spellEnd"/>
            <w:r>
              <w:rPr>
                <w:rFonts w:ascii="Arial" w:hAnsi="Arial" w:cs="Arial"/>
                <w:sz w:val="22"/>
              </w:rPr>
              <w:t xml:space="preserve"> Development, Mongolia</w:t>
            </w:r>
          </w:p>
        </w:tc>
      </w:tr>
      <w:tr w:rsidR="009F1D48" w14:paraId="4C8FA1BB" w14:textId="77777777">
        <w:tc>
          <w:tcPr>
            <w:tcW w:w="2410" w:type="dxa"/>
            <w:shd w:val="clear" w:color="auto" w:fill="FFFFFF"/>
          </w:tcPr>
          <w:p w14:paraId="3BB972E3" w14:textId="77777777" w:rsidR="009F1D48" w:rsidRDefault="009F1D48">
            <w:pPr>
              <w:spacing w:before="40" w:after="40"/>
              <w:rPr>
                <w:rFonts w:ascii="Arial" w:hAnsi="Arial" w:cs="Arial"/>
                <w:sz w:val="22"/>
              </w:rPr>
            </w:pPr>
            <w:r>
              <w:rPr>
                <w:rFonts w:ascii="Arial" w:hAnsi="Arial" w:cs="Arial"/>
                <w:sz w:val="22"/>
              </w:rPr>
              <w:t xml:space="preserve">Irina </w:t>
            </w:r>
            <w:proofErr w:type="spellStart"/>
            <w:r>
              <w:rPr>
                <w:rFonts w:ascii="Arial" w:hAnsi="Arial" w:cs="Arial"/>
                <w:sz w:val="22"/>
              </w:rPr>
              <w:t>Springuel</w:t>
            </w:r>
            <w:proofErr w:type="spellEnd"/>
          </w:p>
        </w:tc>
        <w:tc>
          <w:tcPr>
            <w:tcW w:w="6379" w:type="dxa"/>
            <w:shd w:val="clear" w:color="auto" w:fill="FFFFFF"/>
          </w:tcPr>
          <w:p w14:paraId="54794D19" w14:textId="77777777" w:rsidR="009F1D48" w:rsidRDefault="009F1D48">
            <w:pPr>
              <w:spacing w:before="40" w:after="40"/>
              <w:rPr>
                <w:rFonts w:ascii="Arial" w:hAnsi="Arial" w:cs="Arial"/>
                <w:sz w:val="22"/>
              </w:rPr>
            </w:pPr>
            <w:r>
              <w:rPr>
                <w:rFonts w:ascii="Arial" w:hAnsi="Arial" w:cs="Arial"/>
                <w:sz w:val="22"/>
              </w:rPr>
              <w:t>UNESCO ECOTECHNE Chair, South Valley University, Egypt</w:t>
            </w:r>
          </w:p>
        </w:tc>
      </w:tr>
      <w:tr w:rsidR="009F1D48" w14:paraId="0C658FFF" w14:textId="77777777">
        <w:trPr>
          <w:trHeight w:val="70"/>
        </w:trPr>
        <w:tc>
          <w:tcPr>
            <w:tcW w:w="2410" w:type="dxa"/>
            <w:shd w:val="clear" w:color="auto" w:fill="FFFFFF"/>
          </w:tcPr>
          <w:p w14:paraId="3D3C611E" w14:textId="77777777" w:rsidR="009F1D48" w:rsidRDefault="009F1D48">
            <w:pPr>
              <w:spacing w:before="40" w:after="40"/>
              <w:rPr>
                <w:rFonts w:ascii="Arial" w:hAnsi="Arial" w:cs="Arial"/>
                <w:sz w:val="22"/>
              </w:rPr>
            </w:pPr>
            <w:r>
              <w:rPr>
                <w:rFonts w:ascii="Arial" w:hAnsi="Arial" w:cs="Arial"/>
                <w:sz w:val="22"/>
              </w:rPr>
              <w:t xml:space="preserve">Nick </w:t>
            </w:r>
            <w:proofErr w:type="spellStart"/>
            <w:r>
              <w:rPr>
                <w:rFonts w:ascii="Arial" w:hAnsi="Arial" w:cs="Arial"/>
                <w:sz w:val="22"/>
              </w:rPr>
              <w:t>Turvey</w:t>
            </w:r>
            <w:proofErr w:type="spellEnd"/>
            <w:r>
              <w:rPr>
                <w:rFonts w:ascii="Arial" w:hAnsi="Arial" w:cs="Arial"/>
                <w:sz w:val="22"/>
              </w:rPr>
              <w:t xml:space="preserve"> </w:t>
            </w:r>
          </w:p>
        </w:tc>
        <w:tc>
          <w:tcPr>
            <w:tcW w:w="6379" w:type="dxa"/>
            <w:shd w:val="clear" w:color="auto" w:fill="FFFFFF"/>
          </w:tcPr>
          <w:p w14:paraId="5066A21A" w14:textId="77777777" w:rsidR="009F1D48" w:rsidRDefault="009F1D48">
            <w:pPr>
              <w:spacing w:before="40" w:after="40"/>
              <w:ind w:right="140"/>
              <w:rPr>
                <w:rFonts w:ascii="Arial" w:hAnsi="Arial" w:cs="Arial"/>
                <w:noProof/>
                <w:sz w:val="22"/>
              </w:rPr>
            </w:pPr>
            <w:r>
              <w:rPr>
                <w:rFonts w:ascii="Arial" w:hAnsi="Arial" w:cs="Arial"/>
                <w:noProof/>
                <w:sz w:val="22"/>
              </w:rPr>
              <w:t>Documentary Film-maker, UK</w:t>
            </w:r>
          </w:p>
        </w:tc>
      </w:tr>
      <w:tr w:rsidR="009F1D48" w14:paraId="1E1E68E3" w14:textId="77777777">
        <w:trPr>
          <w:trHeight w:val="70"/>
        </w:trPr>
        <w:tc>
          <w:tcPr>
            <w:tcW w:w="2410" w:type="dxa"/>
            <w:shd w:val="clear" w:color="auto" w:fill="FFFFFF"/>
          </w:tcPr>
          <w:p w14:paraId="2F51E73B" w14:textId="77777777" w:rsidR="009F1D48" w:rsidRDefault="009F1D48">
            <w:pPr>
              <w:spacing w:before="40" w:after="40"/>
              <w:rPr>
                <w:rFonts w:ascii="Arial" w:hAnsi="Arial" w:cs="Arial"/>
                <w:sz w:val="22"/>
              </w:rPr>
            </w:pPr>
            <w:r>
              <w:rPr>
                <w:rFonts w:ascii="Arial" w:hAnsi="Arial" w:cs="Arial"/>
                <w:sz w:val="22"/>
              </w:rPr>
              <w:t>Reed Wadley</w:t>
            </w:r>
          </w:p>
        </w:tc>
        <w:tc>
          <w:tcPr>
            <w:tcW w:w="6379" w:type="dxa"/>
            <w:shd w:val="clear" w:color="auto" w:fill="FFFFFF"/>
          </w:tcPr>
          <w:p w14:paraId="742081BF" w14:textId="77777777" w:rsidR="009F1D48" w:rsidRDefault="009F1D48">
            <w:pPr>
              <w:spacing w:before="40" w:after="40"/>
              <w:ind w:right="140"/>
              <w:rPr>
                <w:rFonts w:ascii="Arial" w:hAnsi="Arial" w:cs="Arial"/>
                <w:sz w:val="22"/>
              </w:rPr>
            </w:pPr>
            <w:r>
              <w:rPr>
                <w:rFonts w:ascii="Arial" w:hAnsi="Arial" w:cs="Arial"/>
                <w:noProof/>
                <w:sz w:val="22"/>
              </w:rPr>
              <w:t>Department of Anthropology, University of Missouri at Columbia, USA</w:t>
            </w:r>
          </w:p>
        </w:tc>
      </w:tr>
    </w:tbl>
    <w:p w14:paraId="0FAA808B" w14:textId="77777777" w:rsidR="009F1D48" w:rsidRDefault="009F1D48">
      <w:pPr>
        <w:jc w:val="both"/>
        <w:rPr>
          <w:rFonts w:ascii="Arial" w:hAnsi="Arial"/>
          <w:sz w:val="22"/>
          <w:szCs w:val="22"/>
          <w:lang w:eastAsia="en-GB"/>
        </w:rPr>
      </w:pPr>
    </w:p>
    <w:p w14:paraId="1B121131" w14:textId="77777777" w:rsidR="009F1D48" w:rsidRDefault="009F1D48">
      <w:pPr>
        <w:rPr>
          <w:iCs/>
        </w:rPr>
      </w:pPr>
    </w:p>
    <w:p w14:paraId="1F2A3D39" w14:textId="77777777" w:rsidR="009F1D48" w:rsidRDefault="009F1D48"/>
    <w:p w14:paraId="327B84EE" w14:textId="77777777" w:rsidR="009F1D48" w:rsidRDefault="009F1D48"/>
    <w:sectPr w:rsidR="009F1D48">
      <w:footerReference w:type="even" r:id="rId20"/>
      <w:footerReference w:type="default" r:id="rId21"/>
      <w:pgSz w:w="12240" w:h="15840"/>
      <w:pgMar w:top="899"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5E0194FE" w14:textId="77777777" w:rsidR="00461855" w:rsidRDefault="00461855">
      <w:r>
        <w:separator/>
      </w:r>
    </w:p>
  </w:endnote>
  <w:endnote w:type="continuationSeparator" w:id="0">
    <w:p w14:paraId="720C71D9" w14:textId="77777777" w:rsidR="00461855" w:rsidRDefault="00461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Calibri">
    <w:altName w:val="Calibri"/>
    <w:panose1 w:val="020F0502020204030204"/>
    <w:charset w:val="00"/>
    <w:family w:val="auto"/>
    <w:pitch w:val="variable"/>
    <w:sig w:usb0="E10002FF" w:usb1="4000ACFF" w:usb2="00000009" w:usb3="00000000" w:csb0="0000019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4B48DE" w14:textId="77777777" w:rsidR="000823CF" w:rsidRDefault="000823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372178" w14:textId="77777777" w:rsidR="000823CF" w:rsidRDefault="000823C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7D809" w14:textId="77777777" w:rsidR="000823CF" w:rsidRDefault="000823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E6EB3">
      <w:rPr>
        <w:rStyle w:val="PageNumber"/>
        <w:noProof/>
      </w:rPr>
      <w:t>1</w:t>
    </w:r>
    <w:r>
      <w:rPr>
        <w:rStyle w:val="PageNumber"/>
      </w:rPr>
      <w:fldChar w:fldCharType="end"/>
    </w:r>
  </w:p>
  <w:p w14:paraId="7B177FDF" w14:textId="77777777" w:rsidR="000823CF" w:rsidRDefault="000823C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33DF1A4B" w14:textId="77777777" w:rsidR="00461855" w:rsidRDefault="00461855">
      <w:r>
        <w:separator/>
      </w:r>
    </w:p>
  </w:footnote>
  <w:footnote w:type="continuationSeparator" w:id="0">
    <w:p w14:paraId="5D417B08" w14:textId="77777777" w:rsidR="00461855" w:rsidRDefault="00461855">
      <w:r>
        <w:continuationSeparator/>
      </w:r>
    </w:p>
  </w:footnote>
  <w:footnote w:id="1">
    <w:p w14:paraId="24678E06" w14:textId="77777777" w:rsidR="000823CF" w:rsidRDefault="000823CF">
      <w:pPr>
        <w:pStyle w:val="FootnoteText"/>
        <w:rPr>
          <w:lang w:val="en-GB"/>
        </w:rPr>
      </w:pPr>
      <w:r>
        <w:rPr>
          <w:rStyle w:val="FootnoteReference"/>
        </w:rPr>
        <w:footnoteRef/>
      </w:r>
      <w:r>
        <w:t xml:space="preserve"> </w:t>
      </w:r>
      <w:r>
        <w:rPr>
          <w:lang w:val="en-GB"/>
        </w:rPr>
        <w:t xml:space="preserve">Common property systems have well established community rules for use/ownership. They are not the same as open access and include such land use types as seasonal grazing, community conserved areas, etc. </w:t>
      </w:r>
    </w:p>
  </w:footnote>
  <w:footnote w:id="2">
    <w:p w14:paraId="33C0428A" w14:textId="77777777" w:rsidR="000823CF" w:rsidRDefault="000823CF">
      <w:pPr>
        <w:pStyle w:val="FootnoteText"/>
      </w:pPr>
      <w:r>
        <w:rPr>
          <w:rStyle w:val="FootnoteReference"/>
        </w:rPr>
        <w:footnoteRef/>
      </w:r>
      <w:r>
        <w:t xml:space="preserve"> By mobile peoples, we mean a subset of indigenous and traditional peoples whose livelihoods depend on extensive common property use of natural resources over an area, who use mobility as a management strategy for dealing with sustainable use and conservation, and who possess a distinctive cultural identity and natural resource management system.</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12B83FD5"/>
    <w:multiLevelType w:val="hybridMultilevel"/>
    <w:tmpl w:val="0E0080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FDF6CFE"/>
    <w:multiLevelType w:val="multilevel"/>
    <w:tmpl w:val="254C4114"/>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3DFE0726"/>
    <w:multiLevelType w:val="multilevel"/>
    <w:tmpl w:val="66D42E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50D36F5F"/>
    <w:multiLevelType w:val="multilevel"/>
    <w:tmpl w:val="66D42E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50FF11A9"/>
    <w:multiLevelType w:val="hybridMultilevel"/>
    <w:tmpl w:val="54D03B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A66466C"/>
    <w:multiLevelType w:val="hybridMultilevel"/>
    <w:tmpl w:val="AF421F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C780277"/>
    <w:multiLevelType w:val="hybridMultilevel"/>
    <w:tmpl w:val="1726767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749A16DD"/>
    <w:multiLevelType w:val="multilevel"/>
    <w:tmpl w:val="88CA19D2"/>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766A0209"/>
    <w:multiLevelType w:val="hybridMultilevel"/>
    <w:tmpl w:val="9CDE5F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A090208"/>
    <w:multiLevelType w:val="multilevel"/>
    <w:tmpl w:val="597EC1E6"/>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9"/>
  </w:num>
  <w:num w:numId="3">
    <w:abstractNumId w:val="1"/>
  </w:num>
  <w:num w:numId="4">
    <w:abstractNumId w:val="7"/>
  </w:num>
  <w:num w:numId="5">
    <w:abstractNumId w:val="3"/>
  </w:num>
  <w:num w:numId="6">
    <w:abstractNumId w:val="2"/>
  </w:num>
  <w:num w:numId="7">
    <w:abstractNumId w:val="4"/>
  </w:num>
  <w:num w:numId="8">
    <w:abstractNumId w:val="0"/>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0F2"/>
    <w:rsid w:val="00017C90"/>
    <w:rsid w:val="00043D8A"/>
    <w:rsid w:val="0004457B"/>
    <w:rsid w:val="000603D5"/>
    <w:rsid w:val="000823CF"/>
    <w:rsid w:val="00085BCD"/>
    <w:rsid w:val="000A54DB"/>
    <w:rsid w:val="000B2ABD"/>
    <w:rsid w:val="000B6B9A"/>
    <w:rsid w:val="000C231C"/>
    <w:rsid w:val="000D522E"/>
    <w:rsid w:val="000E1A4A"/>
    <w:rsid w:val="000E6D7D"/>
    <w:rsid w:val="00103C3F"/>
    <w:rsid w:val="00115BAF"/>
    <w:rsid w:val="00120E45"/>
    <w:rsid w:val="00121E80"/>
    <w:rsid w:val="00123ED7"/>
    <w:rsid w:val="00126836"/>
    <w:rsid w:val="00133377"/>
    <w:rsid w:val="00137783"/>
    <w:rsid w:val="00145502"/>
    <w:rsid w:val="00150B9E"/>
    <w:rsid w:val="00171C5F"/>
    <w:rsid w:val="00172DDA"/>
    <w:rsid w:val="00196B2F"/>
    <w:rsid w:val="001A063B"/>
    <w:rsid w:val="001B1D1C"/>
    <w:rsid w:val="001B5931"/>
    <w:rsid w:val="001B7625"/>
    <w:rsid w:val="001C7300"/>
    <w:rsid w:val="001C7D40"/>
    <w:rsid w:val="001D2740"/>
    <w:rsid w:val="0021788F"/>
    <w:rsid w:val="00232C76"/>
    <w:rsid w:val="002A162A"/>
    <w:rsid w:val="002C70CB"/>
    <w:rsid w:val="002E048A"/>
    <w:rsid w:val="002E0B6E"/>
    <w:rsid w:val="002E4F48"/>
    <w:rsid w:val="002F5D38"/>
    <w:rsid w:val="002F7568"/>
    <w:rsid w:val="00316019"/>
    <w:rsid w:val="00357F4C"/>
    <w:rsid w:val="003B3537"/>
    <w:rsid w:val="003B43A7"/>
    <w:rsid w:val="003F739F"/>
    <w:rsid w:val="004126AF"/>
    <w:rsid w:val="00461855"/>
    <w:rsid w:val="004658F5"/>
    <w:rsid w:val="004C4CAC"/>
    <w:rsid w:val="004D024B"/>
    <w:rsid w:val="004D0A4B"/>
    <w:rsid w:val="004E15EE"/>
    <w:rsid w:val="004F291F"/>
    <w:rsid w:val="004F4648"/>
    <w:rsid w:val="0051157B"/>
    <w:rsid w:val="0052697F"/>
    <w:rsid w:val="00531D4A"/>
    <w:rsid w:val="00536DD8"/>
    <w:rsid w:val="00545FF4"/>
    <w:rsid w:val="00565D00"/>
    <w:rsid w:val="00577709"/>
    <w:rsid w:val="005800E4"/>
    <w:rsid w:val="005D1AE1"/>
    <w:rsid w:val="005D2F91"/>
    <w:rsid w:val="005E1A9F"/>
    <w:rsid w:val="00632DAD"/>
    <w:rsid w:val="0063424B"/>
    <w:rsid w:val="00660586"/>
    <w:rsid w:val="00661240"/>
    <w:rsid w:val="006637C1"/>
    <w:rsid w:val="0066629C"/>
    <w:rsid w:val="006761B8"/>
    <w:rsid w:val="006B2D50"/>
    <w:rsid w:val="006D0F1D"/>
    <w:rsid w:val="006E40FA"/>
    <w:rsid w:val="007036F4"/>
    <w:rsid w:val="00711DA4"/>
    <w:rsid w:val="00741026"/>
    <w:rsid w:val="00743852"/>
    <w:rsid w:val="00752F08"/>
    <w:rsid w:val="0077427E"/>
    <w:rsid w:val="007961EB"/>
    <w:rsid w:val="007A5066"/>
    <w:rsid w:val="007A6D42"/>
    <w:rsid w:val="007E6EB3"/>
    <w:rsid w:val="007F0581"/>
    <w:rsid w:val="0080251E"/>
    <w:rsid w:val="008649EE"/>
    <w:rsid w:val="00874A30"/>
    <w:rsid w:val="00880113"/>
    <w:rsid w:val="008B13A6"/>
    <w:rsid w:val="008D2D3F"/>
    <w:rsid w:val="008E17B3"/>
    <w:rsid w:val="008E1EF8"/>
    <w:rsid w:val="008E3011"/>
    <w:rsid w:val="008F47E9"/>
    <w:rsid w:val="0090682D"/>
    <w:rsid w:val="00910835"/>
    <w:rsid w:val="00932109"/>
    <w:rsid w:val="009449FC"/>
    <w:rsid w:val="00950AE6"/>
    <w:rsid w:val="00950B75"/>
    <w:rsid w:val="009757B8"/>
    <w:rsid w:val="00995122"/>
    <w:rsid w:val="009A214B"/>
    <w:rsid w:val="009C191B"/>
    <w:rsid w:val="009F1D48"/>
    <w:rsid w:val="00A044F5"/>
    <w:rsid w:val="00A22CBF"/>
    <w:rsid w:val="00A31347"/>
    <w:rsid w:val="00A70BCA"/>
    <w:rsid w:val="00A77CA2"/>
    <w:rsid w:val="00AC5F9F"/>
    <w:rsid w:val="00AC7FEF"/>
    <w:rsid w:val="00AD4763"/>
    <w:rsid w:val="00AE369F"/>
    <w:rsid w:val="00AE6C20"/>
    <w:rsid w:val="00B338FC"/>
    <w:rsid w:val="00B72252"/>
    <w:rsid w:val="00B86253"/>
    <w:rsid w:val="00B936AE"/>
    <w:rsid w:val="00BA11E4"/>
    <w:rsid w:val="00BC78CD"/>
    <w:rsid w:val="00BE545B"/>
    <w:rsid w:val="00BF5260"/>
    <w:rsid w:val="00C01F80"/>
    <w:rsid w:val="00C22D90"/>
    <w:rsid w:val="00CA7E05"/>
    <w:rsid w:val="00D270F2"/>
    <w:rsid w:val="00D27FB2"/>
    <w:rsid w:val="00D52920"/>
    <w:rsid w:val="00D54C7A"/>
    <w:rsid w:val="00DB203B"/>
    <w:rsid w:val="00DB622F"/>
    <w:rsid w:val="00DB6944"/>
    <w:rsid w:val="00DE0551"/>
    <w:rsid w:val="00DF160B"/>
    <w:rsid w:val="00DF578D"/>
    <w:rsid w:val="00E12A21"/>
    <w:rsid w:val="00E219E4"/>
    <w:rsid w:val="00E240ED"/>
    <w:rsid w:val="00E3798A"/>
    <w:rsid w:val="00E652A3"/>
    <w:rsid w:val="00E74CA7"/>
    <w:rsid w:val="00E8668A"/>
    <w:rsid w:val="00E9292F"/>
    <w:rsid w:val="00EB74A3"/>
    <w:rsid w:val="00EC4C4A"/>
    <w:rsid w:val="00EC7A04"/>
    <w:rsid w:val="00EE2F24"/>
    <w:rsid w:val="00EF27E9"/>
    <w:rsid w:val="00F64AB8"/>
    <w:rsid w:val="00F73DC7"/>
    <w:rsid w:val="00FB6015"/>
    <w:rsid w:val="10E53A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ocId w14:val="2E51A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caption" w:qFormat="1"/>
    <w:lsdException w:name="List 5" w:semiHidden="0" w:unhideWhenUsed="0"/>
    <w:lsdException w:name="List Bullet 4" w:semiHidden="0" w:unhideWhenUsed="0"/>
    <w:lsdException w:name="List Bullet 5" w:semiHidden="0" w:unhideWhenUsed="0"/>
    <w:lsdException w:name="Title" w:semiHidden="0" w:unhideWhenUsed="0" w:qFormat="1"/>
    <w:lsdException w:name="Subtitle" w:semiHidden="0" w:unhideWhenUsed="0" w:qFormat="1"/>
    <w:lsdException w:name="Body Text First Indent 2" w:semiHidden="0" w:unhideWhenUsed="0"/>
    <w:lsdException w:name="Note Heading" w:semiHidden="0" w:unhideWhenUsed="0"/>
    <w:lsdException w:name="Body Text 2" w:semiHidden="0" w:unhideWhenUsed="0"/>
    <w:lsdException w:name="Body Text 3"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spacing w:before="40" w:after="40"/>
      <w:outlineLvl w:val="0"/>
    </w:pPr>
    <w:rPr>
      <w:rFonts w:ascii="Arial" w:hAnsi="Arial" w:cs="Arial"/>
      <w:b/>
      <w:bCs/>
      <w:color w:val="000000"/>
      <w:sz w:val="20"/>
      <w:lang w:val="en-US" w:eastAsia="ar-SA"/>
    </w:rPr>
  </w:style>
  <w:style w:type="paragraph" w:styleId="Heading2">
    <w:name w:val="heading 2"/>
    <w:basedOn w:val="Normal"/>
    <w:next w:val="Normal"/>
    <w:qFormat/>
    <w:pPr>
      <w:keepNext/>
      <w:spacing w:before="40" w:after="40"/>
      <w:ind w:right="140"/>
      <w:outlineLvl w:val="1"/>
    </w:pPr>
    <w:rPr>
      <w:rFonts w:ascii="Arial" w:hAnsi="Arial" w:cs="Arial"/>
      <w:b/>
      <w:bCs/>
      <w:noProof/>
      <w:sz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rPr>
      <w:color w:val="000000"/>
      <w:lang w:val="en-US"/>
    </w:rPr>
  </w:style>
  <w:style w:type="character" w:styleId="Hyperlink">
    <w:name w:val="Hyperlink"/>
    <w:rPr>
      <w:color w:val="0000FF"/>
      <w:u w:val="single"/>
    </w:rPr>
  </w:style>
  <w:style w:type="paragraph" w:styleId="Title">
    <w:name w:val="Title"/>
    <w:basedOn w:val="Normal"/>
    <w:qFormat/>
    <w:pPr>
      <w:widowControl w:val="0"/>
      <w:autoSpaceDE w:val="0"/>
      <w:autoSpaceDN w:val="0"/>
      <w:adjustRightInd w:val="0"/>
      <w:jc w:val="center"/>
    </w:pPr>
    <w:rPr>
      <w:rFonts w:ascii="Tahoma" w:hAnsi="Tahoma"/>
      <w:b/>
      <w:bCs/>
      <w:lang w:val="en-US" w:eastAsia="ar-SA"/>
    </w:rPr>
  </w:style>
  <w:style w:type="paragraph" w:styleId="BodyText2">
    <w:name w:val="Body Text 2"/>
    <w:basedOn w:val="Normal"/>
    <w:pPr>
      <w:jc w:val="both"/>
    </w:pPr>
    <w:rPr>
      <w:rFonts w:ascii="Arial" w:hAnsi="Arial"/>
      <w:sz w:val="22"/>
      <w:szCs w:val="22"/>
      <w:lang w:eastAsia="ar-SA"/>
    </w:rPr>
  </w:style>
  <w:style w:type="paragraph" w:styleId="BodyText">
    <w:name w:val="Body Text"/>
    <w:basedOn w:val="Normal"/>
    <w:pPr>
      <w:widowControl w:val="0"/>
      <w:autoSpaceDE w:val="0"/>
      <w:autoSpaceDN w:val="0"/>
      <w:adjustRightInd w:val="0"/>
    </w:pPr>
    <w:rPr>
      <w:rFonts w:ascii="Arial" w:hAnsi="Arial"/>
      <w:sz w:val="22"/>
      <w:szCs w:val="22"/>
      <w:lang w:eastAsia="ar-SA"/>
    </w:rPr>
  </w:style>
  <w:style w:type="paragraph" w:styleId="BodyText3">
    <w:name w:val="Body Text 3"/>
    <w:basedOn w:val="Normal"/>
    <w:pPr>
      <w:spacing w:before="40" w:after="40"/>
      <w:ind w:right="140"/>
    </w:pPr>
    <w:rPr>
      <w:rFonts w:ascii="Arial" w:hAnsi="Arial" w:cs="Arial"/>
      <w:sz w:val="20"/>
      <w:lang w:val="en-US" w:eastAsia="ar-SA"/>
    </w:rPr>
  </w:style>
  <w:style w:type="paragraph" w:styleId="FootnoteText">
    <w:name w:val="footnote text"/>
    <w:basedOn w:val="Normal"/>
    <w:semiHidden/>
    <w:rPr>
      <w:color w:val="000000"/>
      <w:sz w:val="20"/>
      <w:szCs w:val="20"/>
      <w:lang w:val="en-US"/>
    </w:rPr>
  </w:style>
  <w:style w:type="character" w:styleId="PageNumber">
    <w:name w:val="page number"/>
    <w:basedOn w:val="DefaultParagraphFont"/>
  </w:style>
  <w:style w:type="character" w:styleId="CommentReference">
    <w:name w:val="annotation reference"/>
    <w:semiHidden/>
    <w:rsid w:val="00D27FB2"/>
    <w:rPr>
      <w:sz w:val="16"/>
      <w:szCs w:val="16"/>
    </w:rPr>
  </w:style>
  <w:style w:type="paragraph" w:styleId="CommentText">
    <w:name w:val="annotation text"/>
    <w:basedOn w:val="Normal"/>
    <w:semiHidden/>
    <w:rsid w:val="00D27FB2"/>
    <w:rPr>
      <w:sz w:val="20"/>
      <w:szCs w:val="20"/>
    </w:rPr>
  </w:style>
  <w:style w:type="paragraph" w:styleId="CommentSubject">
    <w:name w:val="annotation subject"/>
    <w:basedOn w:val="CommentText"/>
    <w:next w:val="CommentText"/>
    <w:semiHidden/>
    <w:rsid w:val="00D27FB2"/>
    <w:rPr>
      <w:b/>
      <w:bCs/>
    </w:rPr>
  </w:style>
  <w:style w:type="paragraph" w:styleId="BalloonText">
    <w:name w:val="Balloon Text"/>
    <w:basedOn w:val="Normal"/>
    <w:semiHidden/>
    <w:rsid w:val="00D27FB2"/>
    <w:rPr>
      <w:rFonts w:ascii="Tahoma" w:hAnsi="Tahoma" w:cs="Tahoma"/>
      <w:sz w:val="16"/>
      <w:szCs w:val="16"/>
    </w:rPr>
  </w:style>
  <w:style w:type="paragraph" w:styleId="Header">
    <w:name w:val="header"/>
    <w:basedOn w:val="Normal"/>
    <w:rsid w:val="009A214B"/>
    <w:pPr>
      <w:tabs>
        <w:tab w:val="center" w:pos="4153"/>
        <w:tab w:val="right" w:pos="8306"/>
      </w:tabs>
    </w:pPr>
  </w:style>
  <w:style w:type="paragraph" w:styleId="Revision">
    <w:name w:val="Revision"/>
    <w:hidden/>
    <w:uiPriority w:val="99"/>
    <w:semiHidden/>
    <w:rsid w:val="002E4F48"/>
    <w:rPr>
      <w:sz w:val="24"/>
      <w:szCs w:val="24"/>
      <w:lang w:val="en-GB" w:eastAsia="en-US"/>
    </w:rPr>
  </w:style>
  <w:style w:type="paragraph" w:styleId="DocumentMap">
    <w:name w:val="Document Map"/>
    <w:basedOn w:val="Normal"/>
    <w:link w:val="DocumentMapChar"/>
    <w:rsid w:val="000823CF"/>
    <w:rPr>
      <w:rFonts w:ascii="Lucida Grande" w:hAnsi="Lucida Grande" w:cs="Lucida Grande"/>
    </w:rPr>
  </w:style>
  <w:style w:type="character" w:customStyle="1" w:styleId="DocumentMapChar">
    <w:name w:val="Document Map Char"/>
    <w:basedOn w:val="DefaultParagraphFont"/>
    <w:link w:val="DocumentMap"/>
    <w:rsid w:val="000823CF"/>
    <w:rPr>
      <w:rFonts w:ascii="Lucida Grande" w:hAnsi="Lucida Grande" w:cs="Lucida Grande"/>
      <w:sz w:val="24"/>
      <w:szCs w:val="24"/>
      <w:lang w:val="en-GB"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Times New Roman" w:hAnsi="Times New Roman" w:cs="Times New Roman"/>
        <w:lang w:val="en-US" w:eastAsia="ja-JP"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caption" w:qFormat="1"/>
    <w:lsdException w:name="List 5" w:semiHidden="0" w:unhideWhenUsed="0"/>
    <w:lsdException w:name="List Bullet 4" w:semiHidden="0" w:unhideWhenUsed="0"/>
    <w:lsdException w:name="List Bullet 5" w:semiHidden="0" w:unhideWhenUsed="0"/>
    <w:lsdException w:name="Title" w:semiHidden="0" w:unhideWhenUsed="0" w:qFormat="1"/>
    <w:lsdException w:name="Subtitle" w:semiHidden="0" w:unhideWhenUsed="0" w:qFormat="1"/>
    <w:lsdException w:name="Body Text First Indent 2" w:semiHidden="0" w:unhideWhenUsed="0"/>
    <w:lsdException w:name="Note Heading" w:semiHidden="0" w:unhideWhenUsed="0"/>
    <w:lsdException w:name="Body Text 2" w:semiHidden="0" w:unhideWhenUsed="0"/>
    <w:lsdException w:name="Body Text 3"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spacing w:before="40" w:after="40"/>
      <w:outlineLvl w:val="0"/>
    </w:pPr>
    <w:rPr>
      <w:rFonts w:ascii="Arial" w:hAnsi="Arial" w:cs="Arial"/>
      <w:b/>
      <w:bCs/>
      <w:color w:val="000000"/>
      <w:sz w:val="20"/>
      <w:lang w:val="en-US" w:eastAsia="ar-SA"/>
    </w:rPr>
  </w:style>
  <w:style w:type="paragraph" w:styleId="Heading2">
    <w:name w:val="heading 2"/>
    <w:basedOn w:val="Normal"/>
    <w:next w:val="Normal"/>
    <w:qFormat/>
    <w:pPr>
      <w:keepNext/>
      <w:spacing w:before="40" w:after="40"/>
      <w:ind w:right="140"/>
      <w:outlineLvl w:val="1"/>
    </w:pPr>
    <w:rPr>
      <w:rFonts w:ascii="Arial" w:hAnsi="Arial" w:cs="Arial"/>
      <w:b/>
      <w:bCs/>
      <w:noProof/>
      <w:sz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rPr>
      <w:color w:val="000000"/>
      <w:lang w:val="en-US"/>
    </w:rPr>
  </w:style>
  <w:style w:type="character" w:styleId="Hyperlink">
    <w:name w:val="Hyperlink"/>
    <w:rPr>
      <w:color w:val="0000FF"/>
      <w:u w:val="single"/>
    </w:rPr>
  </w:style>
  <w:style w:type="paragraph" w:styleId="Title">
    <w:name w:val="Title"/>
    <w:basedOn w:val="Normal"/>
    <w:qFormat/>
    <w:pPr>
      <w:widowControl w:val="0"/>
      <w:autoSpaceDE w:val="0"/>
      <w:autoSpaceDN w:val="0"/>
      <w:adjustRightInd w:val="0"/>
      <w:jc w:val="center"/>
    </w:pPr>
    <w:rPr>
      <w:rFonts w:ascii="Tahoma" w:hAnsi="Tahoma"/>
      <w:b/>
      <w:bCs/>
      <w:lang w:val="en-US" w:eastAsia="ar-SA"/>
    </w:rPr>
  </w:style>
  <w:style w:type="paragraph" w:styleId="BodyText2">
    <w:name w:val="Body Text 2"/>
    <w:basedOn w:val="Normal"/>
    <w:pPr>
      <w:jc w:val="both"/>
    </w:pPr>
    <w:rPr>
      <w:rFonts w:ascii="Arial" w:hAnsi="Arial"/>
      <w:sz w:val="22"/>
      <w:szCs w:val="22"/>
      <w:lang w:eastAsia="ar-SA"/>
    </w:rPr>
  </w:style>
  <w:style w:type="paragraph" w:styleId="BodyText">
    <w:name w:val="Body Text"/>
    <w:basedOn w:val="Normal"/>
    <w:pPr>
      <w:widowControl w:val="0"/>
      <w:autoSpaceDE w:val="0"/>
      <w:autoSpaceDN w:val="0"/>
      <w:adjustRightInd w:val="0"/>
    </w:pPr>
    <w:rPr>
      <w:rFonts w:ascii="Arial" w:hAnsi="Arial"/>
      <w:sz w:val="22"/>
      <w:szCs w:val="22"/>
      <w:lang w:eastAsia="ar-SA"/>
    </w:rPr>
  </w:style>
  <w:style w:type="paragraph" w:styleId="BodyText3">
    <w:name w:val="Body Text 3"/>
    <w:basedOn w:val="Normal"/>
    <w:pPr>
      <w:spacing w:before="40" w:after="40"/>
      <w:ind w:right="140"/>
    </w:pPr>
    <w:rPr>
      <w:rFonts w:ascii="Arial" w:hAnsi="Arial" w:cs="Arial"/>
      <w:sz w:val="20"/>
      <w:lang w:val="en-US" w:eastAsia="ar-SA"/>
    </w:rPr>
  </w:style>
  <w:style w:type="paragraph" w:styleId="FootnoteText">
    <w:name w:val="footnote text"/>
    <w:basedOn w:val="Normal"/>
    <w:semiHidden/>
    <w:rPr>
      <w:color w:val="000000"/>
      <w:sz w:val="20"/>
      <w:szCs w:val="20"/>
      <w:lang w:val="en-US"/>
    </w:rPr>
  </w:style>
  <w:style w:type="character" w:styleId="PageNumber">
    <w:name w:val="page number"/>
    <w:basedOn w:val="DefaultParagraphFont"/>
  </w:style>
  <w:style w:type="character" w:styleId="CommentReference">
    <w:name w:val="annotation reference"/>
    <w:semiHidden/>
    <w:rsid w:val="00D27FB2"/>
    <w:rPr>
      <w:sz w:val="16"/>
      <w:szCs w:val="16"/>
    </w:rPr>
  </w:style>
  <w:style w:type="paragraph" w:styleId="CommentText">
    <w:name w:val="annotation text"/>
    <w:basedOn w:val="Normal"/>
    <w:semiHidden/>
    <w:rsid w:val="00D27FB2"/>
    <w:rPr>
      <w:sz w:val="20"/>
      <w:szCs w:val="20"/>
    </w:rPr>
  </w:style>
  <w:style w:type="paragraph" w:styleId="CommentSubject">
    <w:name w:val="annotation subject"/>
    <w:basedOn w:val="CommentText"/>
    <w:next w:val="CommentText"/>
    <w:semiHidden/>
    <w:rsid w:val="00D27FB2"/>
    <w:rPr>
      <w:b/>
      <w:bCs/>
    </w:rPr>
  </w:style>
  <w:style w:type="paragraph" w:styleId="BalloonText">
    <w:name w:val="Balloon Text"/>
    <w:basedOn w:val="Normal"/>
    <w:semiHidden/>
    <w:rsid w:val="00D27FB2"/>
    <w:rPr>
      <w:rFonts w:ascii="Tahoma" w:hAnsi="Tahoma" w:cs="Tahoma"/>
      <w:sz w:val="16"/>
      <w:szCs w:val="16"/>
    </w:rPr>
  </w:style>
  <w:style w:type="paragraph" w:styleId="Header">
    <w:name w:val="header"/>
    <w:basedOn w:val="Normal"/>
    <w:rsid w:val="009A214B"/>
    <w:pPr>
      <w:tabs>
        <w:tab w:val="center" w:pos="4153"/>
        <w:tab w:val="right" w:pos="8306"/>
      </w:tabs>
    </w:pPr>
  </w:style>
  <w:style w:type="paragraph" w:styleId="Revision">
    <w:name w:val="Revision"/>
    <w:hidden/>
    <w:uiPriority w:val="99"/>
    <w:semiHidden/>
    <w:rsid w:val="002E4F48"/>
    <w:rPr>
      <w:sz w:val="24"/>
      <w:szCs w:val="24"/>
      <w:lang w:val="en-GB" w:eastAsia="en-US"/>
    </w:rPr>
  </w:style>
  <w:style w:type="paragraph" w:styleId="DocumentMap">
    <w:name w:val="Document Map"/>
    <w:basedOn w:val="Normal"/>
    <w:link w:val="DocumentMapChar"/>
    <w:rsid w:val="000823CF"/>
    <w:rPr>
      <w:rFonts w:ascii="Lucida Grande" w:hAnsi="Lucida Grande" w:cs="Lucida Grande"/>
    </w:rPr>
  </w:style>
  <w:style w:type="character" w:customStyle="1" w:styleId="DocumentMapChar">
    <w:name w:val="Document Map Char"/>
    <w:basedOn w:val="DefaultParagraphFont"/>
    <w:link w:val="DocumentMap"/>
    <w:rsid w:val="000823CF"/>
    <w:rPr>
      <w:rFonts w:ascii="Lucida Grande" w:hAnsi="Lucida Grande" w:cs="Lucida Grande"/>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oleObject" Target="embeddings/oleObject1.bin"/><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hyperlink" Target="http://www.danadeclaration.org" TargetMode="External"/><Relationship Id="rId17" Type="http://schemas.openxmlformats.org/officeDocument/2006/relationships/hyperlink" Target="http://www.danadeclaration.org" TargetMode="External"/><Relationship Id="rId18" Type="http://schemas.openxmlformats.org/officeDocument/2006/relationships/hyperlink" Target="http://www.danadeclaration.org" TargetMode="External"/><Relationship Id="rId19" Type="http://schemas.openxmlformats.org/officeDocument/2006/relationships/hyperlink" Target="http://www.unep-wcmc.org/protected"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7CD770-C8D8-194A-B0B1-2CC0BF209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4087</Words>
  <Characters>23296</Characters>
  <Application>Microsoft Macintosh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Queen Elizabeth House</Company>
  <LinksUpToDate>false</LinksUpToDate>
  <CharactersWithSpaces>27329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ryd8pm</dc:creator>
  <cp:keywords/>
  <cp:lastModifiedBy>Maryam Niamir-Fuller</cp:lastModifiedBy>
  <cp:revision>2</cp:revision>
  <cp:lastPrinted>2021-11-21T10:50:00Z</cp:lastPrinted>
  <dcterms:created xsi:type="dcterms:W3CDTF">2022-01-19T16:58:00Z</dcterms:created>
  <dcterms:modified xsi:type="dcterms:W3CDTF">2022-01-19T16:58:00Z</dcterms:modified>
</cp:coreProperties>
</file>