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172CC" w14:textId="614FD534" w:rsidR="006C5C36" w:rsidRPr="00925EB3" w:rsidRDefault="006C5C36" w:rsidP="00FF476F">
      <w:pPr>
        <w:widowControl w:val="0"/>
        <w:spacing w:line="240" w:lineRule="auto"/>
        <w:jc w:val="center"/>
        <w:rPr>
          <w:b/>
          <w:bCs/>
          <w:sz w:val="32"/>
          <w:szCs w:val="32"/>
        </w:rPr>
      </w:pPr>
      <w:r w:rsidRPr="00925EB3">
        <w:rPr>
          <w:b/>
          <w:bCs/>
          <w:sz w:val="32"/>
          <w:szCs w:val="32"/>
        </w:rPr>
        <w:t>Annual Reviews for CALES Faculty</w:t>
      </w:r>
    </w:p>
    <w:p w14:paraId="5C981191" w14:textId="646EAD18" w:rsidR="00FF3B0A" w:rsidRPr="00925EB3" w:rsidRDefault="00FF3B0A" w:rsidP="00FF476F">
      <w:pPr>
        <w:widowControl w:val="0"/>
        <w:spacing w:line="240" w:lineRule="auto"/>
        <w:rPr>
          <w:rFonts w:asciiTheme="majorHAnsi" w:hAnsiTheme="majorHAnsi"/>
          <w:b/>
          <w:bCs/>
          <w:sz w:val="28"/>
          <w:szCs w:val="28"/>
        </w:rPr>
      </w:pPr>
      <w:r w:rsidRPr="00925EB3">
        <w:rPr>
          <w:rFonts w:asciiTheme="majorHAnsi" w:hAnsiTheme="majorHAnsi"/>
          <w:b/>
          <w:bCs/>
          <w:sz w:val="28"/>
          <w:szCs w:val="28"/>
        </w:rPr>
        <w:t>Annual Review Process</w:t>
      </w:r>
    </w:p>
    <w:p w14:paraId="16FE1E7D" w14:textId="24A3DBC9" w:rsidR="009232A3" w:rsidRPr="00925EB3" w:rsidRDefault="006C5C36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  <w:r w:rsidRPr="00925EB3">
        <w:rPr>
          <w:rFonts w:asciiTheme="majorHAnsi" w:hAnsiTheme="majorHAnsi"/>
          <w:sz w:val="24"/>
          <w:szCs w:val="24"/>
        </w:rPr>
        <w:t>All faculty are required to receive a performance review</w:t>
      </w:r>
      <w:r w:rsidR="00752C88" w:rsidRPr="00925EB3">
        <w:rPr>
          <w:rFonts w:asciiTheme="majorHAnsi" w:hAnsiTheme="majorHAnsi"/>
          <w:sz w:val="24"/>
          <w:szCs w:val="24"/>
        </w:rPr>
        <w:t xml:space="preserve"> on a scheduled basis at least once every 12 months</w:t>
      </w:r>
      <w:r w:rsidRPr="00925EB3">
        <w:rPr>
          <w:rFonts w:asciiTheme="majorHAnsi" w:hAnsiTheme="majorHAnsi"/>
          <w:sz w:val="24"/>
          <w:szCs w:val="24"/>
        </w:rPr>
        <w:t>.</w:t>
      </w:r>
      <w:r w:rsidR="009B4E3B" w:rsidRPr="00925EB3">
        <w:rPr>
          <w:rFonts w:asciiTheme="majorHAnsi" w:hAnsiTheme="majorHAnsi"/>
          <w:sz w:val="24"/>
          <w:szCs w:val="24"/>
        </w:rPr>
        <w:t xml:space="preserve"> The only exceptions to this are faculty whose title includes "Adjunct" or "Visiting."</w:t>
      </w:r>
      <w:r w:rsidRPr="00925EB3">
        <w:rPr>
          <w:rFonts w:asciiTheme="majorHAnsi" w:hAnsiTheme="majorHAnsi"/>
          <w:sz w:val="24"/>
          <w:szCs w:val="24"/>
        </w:rPr>
        <w:t xml:space="preserve"> The review will follow the guidance of UHAP 3.2 and UHAP 4A.2</w:t>
      </w:r>
      <w:r w:rsidR="009B4E3B" w:rsidRPr="00925EB3">
        <w:rPr>
          <w:rFonts w:asciiTheme="majorHAnsi" w:hAnsiTheme="majorHAnsi"/>
          <w:sz w:val="24"/>
          <w:szCs w:val="24"/>
        </w:rPr>
        <w:t>.</w:t>
      </w:r>
      <w:r w:rsidRPr="00925EB3">
        <w:rPr>
          <w:rFonts w:asciiTheme="majorHAnsi" w:hAnsiTheme="majorHAnsi"/>
          <w:sz w:val="24"/>
          <w:szCs w:val="24"/>
        </w:rPr>
        <w:t xml:space="preserve"> </w:t>
      </w:r>
    </w:p>
    <w:p w14:paraId="250441F4" w14:textId="42920C77" w:rsidR="00D26B47" w:rsidRDefault="006E5390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  <w:r w:rsidRPr="00925EB3">
        <w:rPr>
          <w:rFonts w:asciiTheme="majorHAnsi" w:hAnsiTheme="majorHAnsi"/>
          <w:sz w:val="24"/>
          <w:szCs w:val="24"/>
        </w:rPr>
        <w:t xml:space="preserve">Guidelines below </w:t>
      </w:r>
      <w:r w:rsidR="00925EB3">
        <w:rPr>
          <w:rFonts w:asciiTheme="majorHAnsi" w:hAnsiTheme="majorHAnsi"/>
          <w:sz w:val="24"/>
          <w:szCs w:val="24"/>
        </w:rPr>
        <w:t>will</w:t>
      </w:r>
      <w:r w:rsidRPr="00925EB3">
        <w:rPr>
          <w:rFonts w:asciiTheme="majorHAnsi" w:hAnsiTheme="majorHAnsi"/>
          <w:sz w:val="24"/>
          <w:szCs w:val="24"/>
        </w:rPr>
        <w:t xml:space="preserve"> inform the development of Unit-specific APR criteria.</w:t>
      </w:r>
      <w:r w:rsidR="009B4E3B" w:rsidRPr="00925EB3">
        <w:rPr>
          <w:rFonts w:asciiTheme="majorHAnsi" w:hAnsiTheme="majorHAnsi"/>
          <w:sz w:val="24"/>
          <w:szCs w:val="24"/>
        </w:rPr>
        <w:t xml:space="preserve"> Each Unit's criteria will cover expectations for Teaching, Research, Extension, and Service.</w:t>
      </w:r>
      <w:r w:rsidR="005F793B">
        <w:rPr>
          <w:rFonts w:asciiTheme="majorHAnsi" w:hAnsiTheme="majorHAnsi"/>
          <w:sz w:val="24"/>
          <w:szCs w:val="24"/>
        </w:rPr>
        <w:t xml:space="preserve"> Unit criteria will differentiate between performance ranked as "Truly Exceptional," vs. "Meets/Exceeds Expectations," vs. "Needs Improvement," vs. "Unsatisfactory."</w:t>
      </w:r>
      <w:r w:rsidR="00507EDD">
        <w:rPr>
          <w:rFonts w:asciiTheme="majorHAnsi" w:hAnsiTheme="majorHAnsi"/>
          <w:sz w:val="24"/>
          <w:szCs w:val="24"/>
        </w:rPr>
        <w:t xml:space="preserve"> Within-unit peer review will assess faculty performance as “Meets/Exceeds Expectations” vs. “Unsatisfactory,” whereas the Unit Head review will also include “Truly Exceptional” and “Unsatisfactory.”</w:t>
      </w:r>
    </w:p>
    <w:p w14:paraId="09DD89A9" w14:textId="171E6D75" w:rsidR="00926396" w:rsidRDefault="00926396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Annual Reviews (submission of annual accomplishments, peer review,</w:t>
      </w:r>
      <w:r w:rsidR="00D86A7E">
        <w:rPr>
          <w:rFonts w:asciiTheme="majorHAnsi" w:hAnsiTheme="majorHAnsi"/>
          <w:sz w:val="24"/>
          <w:szCs w:val="24"/>
        </w:rPr>
        <w:t xml:space="preserve"> and</w:t>
      </w:r>
      <w:r>
        <w:rPr>
          <w:rFonts w:asciiTheme="majorHAnsi" w:hAnsiTheme="majorHAnsi"/>
          <w:sz w:val="24"/>
          <w:szCs w:val="24"/>
        </w:rPr>
        <w:t xml:space="preserve"> Unit Head review) will be conducted using </w:t>
      </w:r>
      <w:hyperlink r:id="rId7" w:history="1">
        <w:r>
          <w:rPr>
            <w:rStyle w:val="Hyperlink"/>
            <w:rFonts w:asciiTheme="majorHAnsi" w:hAnsiTheme="majorHAnsi"/>
            <w:sz w:val="24"/>
            <w:szCs w:val="24"/>
          </w:rPr>
          <w:t>Faculty Portfolio</w:t>
        </w:r>
      </w:hyperlink>
      <w:r>
        <w:rPr>
          <w:rFonts w:asciiTheme="majorHAnsi" w:hAnsiTheme="majorHAnsi"/>
          <w:sz w:val="24"/>
          <w:szCs w:val="24"/>
        </w:rPr>
        <w:t>.</w:t>
      </w:r>
      <w:r w:rsidR="00C84D14">
        <w:rPr>
          <w:rFonts w:asciiTheme="majorHAnsi" w:hAnsiTheme="majorHAnsi"/>
          <w:sz w:val="24"/>
          <w:szCs w:val="24"/>
        </w:rPr>
        <w:t xml:space="preserve"> Unit criteria must advise faculty to: 1) review all U of A-populated sections</w:t>
      </w:r>
      <w:r w:rsidR="00673B3A">
        <w:rPr>
          <w:rFonts w:asciiTheme="majorHAnsi" w:hAnsiTheme="majorHAnsi"/>
          <w:sz w:val="24"/>
          <w:szCs w:val="24"/>
        </w:rPr>
        <w:t xml:space="preserve"> of Faculty Portfolio</w:t>
      </w:r>
      <w:r w:rsidR="00C84D14">
        <w:rPr>
          <w:rFonts w:asciiTheme="majorHAnsi" w:hAnsiTheme="majorHAnsi"/>
          <w:sz w:val="24"/>
          <w:szCs w:val="24"/>
        </w:rPr>
        <w:t xml:space="preserve"> (Teaching, Grants and Contracts, Scholarly Contributions) for accuracy; 2) Utilize the CV Upload, using the CALES template, to convey accomplishments; and 3) if the faculty member has an Extension appointment, comple</w:t>
      </w:r>
      <w:r w:rsidR="00D86A7E">
        <w:rPr>
          <w:rFonts w:asciiTheme="majorHAnsi" w:hAnsiTheme="majorHAnsi"/>
          <w:sz w:val="24"/>
          <w:szCs w:val="24"/>
        </w:rPr>
        <w:t>te</w:t>
      </w:r>
      <w:r w:rsidR="00C84D14">
        <w:rPr>
          <w:rFonts w:asciiTheme="majorHAnsi" w:hAnsiTheme="majorHAnsi"/>
          <w:sz w:val="24"/>
          <w:szCs w:val="24"/>
        </w:rPr>
        <w:t xml:space="preserve"> two additional sections in Faculty Portfolio, as detailed in "Extension Review Guidelines," point 1 (below).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38AC982" w14:textId="7231A50E" w:rsidR="00925EB3" w:rsidRDefault="00925EB3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After faculty submit their annual accomplishments</w:t>
      </w:r>
      <w:r w:rsidR="00222C9F">
        <w:rPr>
          <w:rFonts w:asciiTheme="majorHAnsi" w:hAnsiTheme="majorHAnsi"/>
          <w:sz w:val="24"/>
          <w:szCs w:val="24"/>
        </w:rPr>
        <w:t xml:space="preserve"> applicable to each area identified in their workload</w:t>
      </w:r>
      <w:r>
        <w:rPr>
          <w:rFonts w:asciiTheme="majorHAnsi" w:hAnsiTheme="majorHAnsi"/>
          <w:sz w:val="24"/>
          <w:szCs w:val="24"/>
        </w:rPr>
        <w:t xml:space="preserve">, a </w:t>
      </w:r>
      <w:r w:rsidR="00222C9F">
        <w:rPr>
          <w:rFonts w:asciiTheme="majorHAnsi" w:hAnsiTheme="majorHAnsi"/>
          <w:sz w:val="24"/>
          <w:szCs w:val="24"/>
        </w:rPr>
        <w:t xml:space="preserve">Unit </w:t>
      </w:r>
      <w:r>
        <w:rPr>
          <w:rFonts w:asciiTheme="majorHAnsi" w:hAnsiTheme="majorHAnsi"/>
          <w:sz w:val="24"/>
          <w:szCs w:val="24"/>
        </w:rPr>
        <w:t xml:space="preserve">peer review committee that represents multiple ranks and tracks will oversee the initial review. The peer review committee is elected, unless decided otherwise by the faculty of the Unit. </w:t>
      </w:r>
    </w:p>
    <w:p w14:paraId="0BBC12A9" w14:textId="2C85625A" w:rsidR="00222C9F" w:rsidRPr="00925EB3" w:rsidRDefault="00222C9F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Following peer review, the Unit Head will </w:t>
      </w:r>
      <w:r w:rsidR="00477CDA">
        <w:rPr>
          <w:rFonts w:asciiTheme="majorHAnsi" w:hAnsiTheme="majorHAnsi"/>
          <w:sz w:val="24"/>
          <w:szCs w:val="24"/>
        </w:rPr>
        <w:t xml:space="preserve">finalize the annual review and will conduct one-on-one meetings using rankings and guidance on the </w:t>
      </w:r>
      <w:hyperlink r:id="rId8" w:history="1">
        <w:r w:rsidR="00477CDA">
          <w:rPr>
            <w:rStyle w:val="Hyperlink"/>
            <w:rFonts w:asciiTheme="majorHAnsi" w:hAnsiTheme="majorHAnsi"/>
            <w:sz w:val="24"/>
            <w:szCs w:val="24"/>
          </w:rPr>
          <w:t>Faculty Affairs Website</w:t>
        </w:r>
      </w:hyperlink>
      <w:r w:rsidR="007061BF">
        <w:rPr>
          <w:rFonts w:asciiTheme="majorHAnsi" w:hAnsiTheme="majorHAnsi"/>
          <w:sz w:val="24"/>
          <w:szCs w:val="24"/>
        </w:rPr>
        <w:t>.</w:t>
      </w:r>
      <w:r w:rsidR="00477CDA">
        <w:rPr>
          <w:rFonts w:asciiTheme="majorHAnsi" w:hAnsiTheme="majorHAnsi"/>
          <w:sz w:val="24"/>
          <w:szCs w:val="24"/>
        </w:rPr>
        <w:t xml:space="preserve"> </w:t>
      </w:r>
    </w:p>
    <w:p w14:paraId="4535C03A" w14:textId="55ED6D3B" w:rsidR="00070D60" w:rsidRPr="00925EB3" w:rsidRDefault="00070D60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 w:cs="Arial"/>
        </w:rPr>
      </w:pP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CALES Teaching </w:t>
      </w:r>
      <w:r w:rsidR="00222C9F">
        <w:rPr>
          <w:rFonts w:asciiTheme="majorHAnsi" w:hAnsiTheme="majorHAnsi" w:cs="Arial"/>
          <w:b/>
          <w:bCs/>
          <w:color w:val="000000"/>
          <w:sz w:val="28"/>
          <w:szCs w:val="28"/>
        </w:rPr>
        <w:t>Review</w:t>
      </w: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Guidelines</w:t>
      </w:r>
      <w:r w:rsidR="00222C9F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: </w:t>
      </w:r>
    </w:p>
    <w:p w14:paraId="3A1C3C00" w14:textId="2BF3997D" w:rsidR="00070D60" w:rsidRDefault="00070D60" w:rsidP="00FF476F">
      <w:pPr>
        <w:pStyle w:val="NormalWeb"/>
        <w:widowControl w:val="0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 w:rsidRPr="00925EB3">
        <w:rPr>
          <w:rFonts w:asciiTheme="majorHAnsi" w:hAnsiTheme="majorHAnsi" w:cs="Arial"/>
          <w:color w:val="000000"/>
        </w:rPr>
        <w:t>Both formal and non-formal instruction are defined as teaching by CAL</w:t>
      </w:r>
      <w:r w:rsidR="00222C9F">
        <w:rPr>
          <w:rFonts w:asciiTheme="majorHAnsi" w:hAnsiTheme="majorHAnsi" w:cs="Arial"/>
          <w:color w:val="000000"/>
        </w:rPr>
        <w:t>E</w:t>
      </w:r>
      <w:r w:rsidRPr="00925EB3">
        <w:rPr>
          <w:rFonts w:asciiTheme="majorHAnsi" w:hAnsiTheme="majorHAnsi" w:cs="Arial"/>
          <w:color w:val="000000"/>
        </w:rPr>
        <w:t xml:space="preserve">S, including classroom sessions, demonstrations, </w:t>
      </w:r>
      <w:r w:rsidR="00926396">
        <w:rPr>
          <w:rFonts w:asciiTheme="majorHAnsi" w:hAnsiTheme="majorHAnsi" w:cs="Arial"/>
          <w:color w:val="000000"/>
        </w:rPr>
        <w:t xml:space="preserve">and </w:t>
      </w:r>
      <w:r w:rsidRPr="00925EB3">
        <w:rPr>
          <w:rFonts w:asciiTheme="majorHAnsi" w:hAnsiTheme="majorHAnsi" w:cs="Arial"/>
          <w:color w:val="000000"/>
        </w:rPr>
        <w:t>workshops.</w:t>
      </w:r>
    </w:p>
    <w:p w14:paraId="25CED778" w14:textId="7E5FF45C" w:rsidR="00926396" w:rsidRDefault="00926396" w:rsidP="00FF476F">
      <w:pPr>
        <w:pStyle w:val="NormalWeb"/>
        <w:widowControl w:val="0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Calculating individual faculty's teaching expectation based on FTE Instruction generally follows a guideline of "3 credits = 0.15 FTE." </w:t>
      </w:r>
      <w:r w:rsidR="007A42BC">
        <w:rPr>
          <w:rFonts w:asciiTheme="majorHAnsi" w:hAnsiTheme="majorHAnsi" w:cs="Arial"/>
          <w:color w:val="000000"/>
        </w:rPr>
        <w:t>Provisions to this generality can be developed at the Unit level, and can be based on student enrollment, inclusion of a laboratory, or other. Such provisions must be included in each Unit's guidelines and must be approved</w:t>
      </w:r>
      <w:r w:rsidR="00BF2A76">
        <w:rPr>
          <w:rFonts w:asciiTheme="majorHAnsi" w:hAnsiTheme="majorHAnsi" w:cs="Arial"/>
          <w:color w:val="000000"/>
        </w:rPr>
        <w:t xml:space="preserve"> using</w:t>
      </w:r>
      <w:r w:rsidR="007A42BC">
        <w:rPr>
          <w:rFonts w:asciiTheme="majorHAnsi" w:hAnsiTheme="majorHAnsi" w:cs="Arial"/>
          <w:color w:val="000000"/>
        </w:rPr>
        <w:t xml:space="preserve"> faculty governance of that Unit. </w:t>
      </w:r>
      <w:r>
        <w:rPr>
          <w:rFonts w:asciiTheme="majorHAnsi" w:hAnsiTheme="majorHAnsi" w:cs="Arial"/>
          <w:color w:val="000000"/>
        </w:rPr>
        <w:t xml:space="preserve"> </w:t>
      </w:r>
    </w:p>
    <w:p w14:paraId="3D3F1B52" w14:textId="01415283" w:rsidR="00222C9F" w:rsidRPr="00925EB3" w:rsidRDefault="00222C9F" w:rsidP="00FF476F">
      <w:pPr>
        <w:pStyle w:val="NormalWeb"/>
        <w:widowControl w:val="0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It is recommended that a peer evaluation of teaching be conducted annually for all faculty at Assistant </w:t>
      </w:r>
      <w:proofErr w:type="gramStart"/>
      <w:r>
        <w:rPr>
          <w:rFonts w:asciiTheme="majorHAnsi" w:hAnsiTheme="majorHAnsi" w:cs="Arial"/>
          <w:color w:val="000000"/>
        </w:rPr>
        <w:t>level;</w:t>
      </w:r>
      <w:proofErr w:type="gramEnd"/>
      <w:r>
        <w:rPr>
          <w:rFonts w:asciiTheme="majorHAnsi" w:hAnsiTheme="majorHAnsi" w:cs="Arial"/>
          <w:color w:val="000000"/>
        </w:rPr>
        <w:t xml:space="preserve"> and every other year for any other faculty with a teaching appointment. Peer evaluations must be formative reviews, as detailed on the </w:t>
      </w:r>
      <w:hyperlink r:id="rId9" w:history="1">
        <w:r>
          <w:rPr>
            <w:rStyle w:val="Hyperlink"/>
            <w:rFonts w:asciiTheme="majorHAnsi" w:hAnsiTheme="majorHAnsi" w:cs="Arial"/>
          </w:rPr>
          <w:t>UCATT Website</w:t>
        </w:r>
      </w:hyperlink>
      <w:r>
        <w:rPr>
          <w:rFonts w:asciiTheme="majorHAnsi" w:hAnsiTheme="majorHAnsi" w:cs="Arial"/>
          <w:color w:val="000000"/>
        </w:rPr>
        <w:t xml:space="preserve">. If the faculty member will be submitting a dossier in the spring following the APR, the peer </w:t>
      </w:r>
      <w:r w:rsidR="00673B3A">
        <w:rPr>
          <w:rFonts w:asciiTheme="majorHAnsi" w:hAnsiTheme="majorHAnsi" w:cs="Arial"/>
          <w:color w:val="000000"/>
        </w:rPr>
        <w:t>review</w:t>
      </w:r>
      <w:r>
        <w:rPr>
          <w:rFonts w:asciiTheme="majorHAnsi" w:hAnsiTheme="majorHAnsi" w:cs="Arial"/>
          <w:color w:val="000000"/>
        </w:rPr>
        <w:t xml:space="preserve"> can use a summative evaluation, following guidance on the </w:t>
      </w:r>
      <w:hyperlink r:id="rId10" w:history="1">
        <w:r>
          <w:rPr>
            <w:rStyle w:val="Hyperlink"/>
            <w:rFonts w:asciiTheme="majorHAnsi" w:hAnsiTheme="majorHAnsi" w:cs="Arial"/>
          </w:rPr>
          <w:t>Faculty Affairs Website</w:t>
        </w:r>
      </w:hyperlink>
      <w:r>
        <w:rPr>
          <w:rFonts w:asciiTheme="majorHAnsi" w:hAnsiTheme="majorHAnsi" w:cs="Arial"/>
          <w:color w:val="000000"/>
        </w:rPr>
        <w:t xml:space="preserve">.   </w:t>
      </w:r>
    </w:p>
    <w:p w14:paraId="6B09728A" w14:textId="0952AD26" w:rsidR="0062609C" w:rsidRDefault="00BF2A76" w:rsidP="00FF476F">
      <w:pPr>
        <w:pStyle w:val="NormalWeb"/>
        <w:widowControl w:val="0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Yearly t</w:t>
      </w:r>
      <w:r w:rsidR="007A42BC">
        <w:rPr>
          <w:rFonts w:asciiTheme="majorHAnsi" w:hAnsiTheme="majorHAnsi" w:cs="Arial"/>
          <w:color w:val="000000"/>
        </w:rPr>
        <w:t xml:space="preserve">eaching assignments are the sole responsibility of each Unit Head. Such assignments will primarily be based on credit hours taught, but also may consider a </w:t>
      </w:r>
      <w:r w:rsidR="007A42BC">
        <w:rPr>
          <w:rFonts w:asciiTheme="majorHAnsi" w:hAnsiTheme="majorHAnsi" w:cs="Arial"/>
          <w:color w:val="000000"/>
        </w:rPr>
        <w:lastRenderedPageBreak/>
        <w:t>faculty member's</w:t>
      </w:r>
      <w:r w:rsidR="00070D60" w:rsidRPr="00925EB3">
        <w:rPr>
          <w:rFonts w:asciiTheme="majorHAnsi" w:hAnsiTheme="majorHAnsi" w:cs="Arial"/>
          <w:color w:val="000000"/>
        </w:rPr>
        <w:t xml:space="preserve"> types and amounts of teaching equivalencies, undergraduate advising and recruitment, supervision of internships and preceptors, and supervision of individual studies courses. </w:t>
      </w:r>
      <w:r w:rsidR="007A42BC">
        <w:rPr>
          <w:rFonts w:asciiTheme="majorHAnsi" w:hAnsiTheme="majorHAnsi" w:cs="Arial"/>
          <w:color w:val="000000"/>
        </w:rPr>
        <w:t>How a Unit applies these to the teaching expectation must be included in the Unit-specific APR criteria, to ensure equitable peer- and Unit Head-review of all faculty</w:t>
      </w:r>
      <w:r w:rsidR="0062609C">
        <w:rPr>
          <w:rFonts w:asciiTheme="majorHAnsi" w:hAnsiTheme="majorHAnsi" w:cs="Arial"/>
          <w:color w:val="000000"/>
        </w:rPr>
        <w:t xml:space="preserve"> accomplishments</w:t>
      </w:r>
      <w:r w:rsidR="00070D60" w:rsidRPr="00925EB3">
        <w:rPr>
          <w:rFonts w:asciiTheme="majorHAnsi" w:hAnsiTheme="majorHAnsi" w:cs="Arial"/>
          <w:color w:val="000000"/>
        </w:rPr>
        <w:t>.</w:t>
      </w:r>
    </w:p>
    <w:p w14:paraId="7629CB7D" w14:textId="7BCAF08F" w:rsidR="00070D60" w:rsidRPr="0062609C" w:rsidRDefault="00070D60" w:rsidP="00FF476F">
      <w:pPr>
        <w:pStyle w:val="NormalWeb"/>
        <w:widowControl w:val="0"/>
        <w:spacing w:before="0" w:beforeAutospacing="0" w:after="0" w:afterAutospacing="0"/>
        <w:ind w:left="360"/>
        <w:textAlignment w:val="baseline"/>
        <w:rPr>
          <w:rFonts w:asciiTheme="majorHAnsi" w:hAnsiTheme="majorHAnsi" w:cs="Arial"/>
          <w:color w:val="000000"/>
        </w:rPr>
      </w:pPr>
      <w:r w:rsidRPr="0062609C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CALES Research </w:t>
      </w:r>
      <w:r w:rsidR="007061BF" w:rsidRPr="0062609C">
        <w:rPr>
          <w:rFonts w:asciiTheme="majorHAnsi" w:hAnsiTheme="majorHAnsi" w:cs="Arial"/>
          <w:b/>
          <w:bCs/>
          <w:color w:val="000000"/>
          <w:sz w:val="28"/>
          <w:szCs w:val="28"/>
        </w:rPr>
        <w:t>(including Inclusive Scholarship and Creative Activities</w:t>
      </w:r>
      <w:r w:rsidR="00BB3860">
        <w:rPr>
          <w:rFonts w:asciiTheme="majorHAnsi" w:hAnsiTheme="majorHAnsi" w:cs="Arial"/>
          <w:b/>
          <w:bCs/>
          <w:color w:val="000000"/>
          <w:sz w:val="28"/>
          <w:szCs w:val="28"/>
        </w:rPr>
        <w:t>)</w:t>
      </w:r>
      <w:r w:rsidR="00F478B0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Review </w:t>
      </w:r>
      <w:r w:rsidRPr="0062609C">
        <w:rPr>
          <w:rFonts w:asciiTheme="majorHAnsi" w:hAnsiTheme="majorHAnsi" w:cs="Arial"/>
          <w:b/>
          <w:bCs/>
          <w:color w:val="000000"/>
          <w:sz w:val="28"/>
          <w:szCs w:val="28"/>
        </w:rPr>
        <w:t>Guidelines:</w:t>
      </w:r>
      <w:r w:rsidRPr="0062609C">
        <w:rPr>
          <w:rFonts w:asciiTheme="majorHAnsi" w:hAnsiTheme="majorHAnsi" w:cs="Arial"/>
          <w:b/>
          <w:bCs/>
          <w:color w:val="000000"/>
        </w:rPr>
        <w:t xml:space="preserve"> </w:t>
      </w:r>
    </w:p>
    <w:p w14:paraId="2DC3D7C4" w14:textId="61FEA7D9" w:rsidR="00336FBE" w:rsidRDefault="00336FBE" w:rsidP="00FF476F">
      <w:pPr>
        <w:pStyle w:val="NormalWeb"/>
        <w:widowControl w:val="0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Unit </w:t>
      </w:r>
      <w:r w:rsidR="00BF2A76">
        <w:rPr>
          <w:rFonts w:asciiTheme="majorHAnsi" w:hAnsiTheme="majorHAnsi" w:cs="Arial"/>
          <w:color w:val="000000"/>
        </w:rPr>
        <w:t>APR criteria</w:t>
      </w:r>
      <w:r>
        <w:rPr>
          <w:rFonts w:asciiTheme="majorHAnsi" w:hAnsiTheme="majorHAnsi" w:cs="Arial"/>
          <w:color w:val="000000"/>
        </w:rPr>
        <w:t xml:space="preserve"> for faculty with research appointments will be based on:</w:t>
      </w:r>
    </w:p>
    <w:p w14:paraId="312C2646" w14:textId="79470B24" w:rsidR="00336FBE" w:rsidRDefault="00336FBE" w:rsidP="00FF476F">
      <w:pPr>
        <w:pStyle w:val="NormalWeb"/>
        <w:widowControl w:val="0"/>
        <w:numPr>
          <w:ilvl w:val="2"/>
          <w:numId w:val="4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Submission/award</w:t>
      </w:r>
      <w:r w:rsidR="00070D60" w:rsidRPr="00336FBE">
        <w:rPr>
          <w:rFonts w:asciiTheme="majorHAnsi" w:hAnsiTheme="majorHAnsi" w:cs="Arial"/>
          <w:color w:val="000000"/>
        </w:rPr>
        <w:t xml:space="preserve"> of extramural </w:t>
      </w:r>
      <w:proofErr w:type="gramStart"/>
      <w:r w:rsidR="00070D60" w:rsidRPr="00336FBE">
        <w:rPr>
          <w:rFonts w:asciiTheme="majorHAnsi" w:hAnsiTheme="majorHAnsi" w:cs="Arial"/>
          <w:color w:val="000000"/>
        </w:rPr>
        <w:t>grant</w:t>
      </w:r>
      <w:r>
        <w:rPr>
          <w:rFonts w:asciiTheme="majorHAnsi" w:hAnsiTheme="majorHAnsi" w:cs="Arial"/>
          <w:color w:val="000000"/>
        </w:rPr>
        <w:t>s</w:t>
      </w:r>
      <w:r w:rsidR="00F840C5">
        <w:rPr>
          <w:rFonts w:asciiTheme="majorHAnsi" w:hAnsiTheme="majorHAnsi" w:cs="Arial"/>
          <w:color w:val="000000"/>
        </w:rPr>
        <w:t>;</w:t>
      </w:r>
      <w:proofErr w:type="gramEnd"/>
    </w:p>
    <w:p w14:paraId="3C706855" w14:textId="7FCB2E48" w:rsidR="00070D60" w:rsidRDefault="00336FBE" w:rsidP="00FF476F">
      <w:pPr>
        <w:pStyle w:val="NormalWeb"/>
        <w:widowControl w:val="0"/>
        <w:numPr>
          <w:ilvl w:val="2"/>
          <w:numId w:val="4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Publications (including peer-reviewed journal publications, conference proceedings, book chapters, review articles)</w:t>
      </w:r>
      <w:r w:rsidR="00F840C5">
        <w:rPr>
          <w:rFonts w:asciiTheme="majorHAnsi" w:hAnsiTheme="majorHAnsi" w:cs="Arial"/>
          <w:color w:val="000000"/>
        </w:rPr>
        <w:t>;</w:t>
      </w:r>
      <w:r w:rsidR="0028785D">
        <w:rPr>
          <w:rFonts w:asciiTheme="majorHAnsi" w:hAnsiTheme="majorHAnsi" w:cs="Arial"/>
          <w:color w:val="000000"/>
        </w:rPr>
        <w:t xml:space="preserve"> or</w:t>
      </w:r>
    </w:p>
    <w:p w14:paraId="2D6BF844" w14:textId="4C6D7FDF" w:rsidR="00336FBE" w:rsidRPr="00336FBE" w:rsidRDefault="00336FBE" w:rsidP="00FF476F">
      <w:pPr>
        <w:pStyle w:val="NormalWeb"/>
        <w:widowControl w:val="0"/>
        <w:numPr>
          <w:ilvl w:val="2"/>
          <w:numId w:val="4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Professional meeting speaking invitations</w:t>
      </w:r>
      <w:r w:rsidR="0028785D">
        <w:rPr>
          <w:rFonts w:asciiTheme="majorHAnsi" w:hAnsiTheme="majorHAnsi" w:cs="Arial"/>
          <w:color w:val="000000"/>
        </w:rPr>
        <w:t>.</w:t>
      </w:r>
    </w:p>
    <w:p w14:paraId="294D5D63" w14:textId="6009BA0B" w:rsidR="00F840C5" w:rsidRPr="00F840C5" w:rsidRDefault="00070D60" w:rsidP="00FF476F">
      <w:pPr>
        <w:pStyle w:val="NormalWeb"/>
        <w:widowControl w:val="0"/>
        <w:numPr>
          <w:ilvl w:val="0"/>
          <w:numId w:val="4"/>
        </w:numPr>
        <w:tabs>
          <w:tab w:val="left" w:pos="6962"/>
        </w:tabs>
        <w:spacing w:before="0" w:beforeAutospacing="0" w:after="0" w:afterAutospacing="0"/>
        <w:rPr>
          <w:rFonts w:asciiTheme="majorHAnsi" w:hAnsiTheme="majorHAnsi" w:cs="Arial"/>
        </w:rPr>
      </w:pPr>
      <w:r w:rsidRPr="00925EB3">
        <w:rPr>
          <w:rFonts w:asciiTheme="majorHAnsi" w:hAnsiTheme="majorHAnsi" w:cs="Arial"/>
          <w:color w:val="000000"/>
        </w:rPr>
        <w:t> </w:t>
      </w:r>
      <w:r w:rsidR="00F840C5">
        <w:rPr>
          <w:rFonts w:asciiTheme="majorHAnsi" w:hAnsiTheme="majorHAnsi" w:cs="Arial"/>
          <w:color w:val="000000"/>
        </w:rPr>
        <w:t>Unit guidelines will also recognize integrative and applied forms of research/scholarship that involve collaboration with business and community partners; the goal is to challenge research</w:t>
      </w:r>
      <w:r w:rsidR="00DC6F88">
        <w:rPr>
          <w:rFonts w:asciiTheme="majorHAnsi" w:hAnsiTheme="majorHAnsi" w:cs="Arial"/>
          <w:color w:val="000000"/>
        </w:rPr>
        <w:t xml:space="preserve"> faculty</w:t>
      </w:r>
      <w:r w:rsidR="00F840C5">
        <w:rPr>
          <w:rFonts w:asciiTheme="majorHAnsi" w:hAnsiTheme="majorHAnsi" w:cs="Arial"/>
          <w:color w:val="000000"/>
        </w:rPr>
        <w:t xml:space="preserve"> to be more inclusive and to focus on the broader impacts of their work to society. Additions to research guidance for each Unit must include the following:</w:t>
      </w:r>
    </w:p>
    <w:p w14:paraId="450D07DA" w14:textId="7D6B694B" w:rsidR="00F840C5" w:rsidRDefault="00F840C5" w:rsidP="00FF476F">
      <w:pPr>
        <w:pStyle w:val="NormalWeb"/>
        <w:widowControl w:val="0"/>
        <w:numPr>
          <w:ilvl w:val="2"/>
          <w:numId w:val="4"/>
        </w:numPr>
        <w:tabs>
          <w:tab w:val="left" w:pos="6962"/>
        </w:tabs>
        <w:spacing w:before="0" w:beforeAutospacing="0" w:after="0" w:afterAutospacing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Translational research</w:t>
      </w:r>
      <w:r w:rsidR="0028785D">
        <w:rPr>
          <w:rFonts w:asciiTheme="majorHAnsi" w:hAnsiTheme="majorHAnsi" w:cs="Arial"/>
        </w:rPr>
        <w:t xml:space="preserve"> that generates new knowledge to address practical problems experienced by public or practitioner audiences. Such research can be funded or non-</w:t>
      </w:r>
      <w:proofErr w:type="gramStart"/>
      <w:r w:rsidR="0028785D">
        <w:rPr>
          <w:rFonts w:asciiTheme="majorHAnsi" w:hAnsiTheme="majorHAnsi" w:cs="Arial"/>
        </w:rPr>
        <w:t>funded</w:t>
      </w:r>
      <w:r>
        <w:rPr>
          <w:rFonts w:asciiTheme="majorHAnsi" w:hAnsiTheme="majorHAnsi" w:cs="Arial"/>
        </w:rPr>
        <w:t>;</w:t>
      </w:r>
      <w:proofErr w:type="gramEnd"/>
    </w:p>
    <w:p w14:paraId="3049FA50" w14:textId="4C03DA14" w:rsidR="00F840C5" w:rsidRDefault="00F840C5" w:rsidP="00FF476F">
      <w:pPr>
        <w:pStyle w:val="NormalWeb"/>
        <w:widowControl w:val="0"/>
        <w:numPr>
          <w:ilvl w:val="2"/>
          <w:numId w:val="4"/>
        </w:numPr>
        <w:tabs>
          <w:tab w:val="left" w:pos="6962"/>
        </w:tabs>
        <w:spacing w:before="0" w:beforeAutospacing="0" w:after="0" w:afterAutospacing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Commercialization activities</w:t>
      </w:r>
      <w:r w:rsidR="005B4007">
        <w:rPr>
          <w:rFonts w:asciiTheme="majorHAnsi" w:hAnsiTheme="majorHAnsi" w:cs="Arial"/>
        </w:rPr>
        <w:t xml:space="preserve">, or translation of knowledge to the public through technology transfer, licenses, and </w:t>
      </w:r>
      <w:proofErr w:type="gramStart"/>
      <w:r w:rsidR="005B4007">
        <w:rPr>
          <w:rFonts w:asciiTheme="majorHAnsi" w:hAnsiTheme="majorHAnsi" w:cs="Arial"/>
        </w:rPr>
        <w:t>copyrights</w:t>
      </w:r>
      <w:r>
        <w:rPr>
          <w:rFonts w:asciiTheme="majorHAnsi" w:hAnsiTheme="majorHAnsi" w:cs="Arial"/>
        </w:rPr>
        <w:t>;</w:t>
      </w:r>
      <w:proofErr w:type="gramEnd"/>
    </w:p>
    <w:p w14:paraId="25EF08E4" w14:textId="1BB1BF81" w:rsidR="0028785D" w:rsidRDefault="0028785D" w:rsidP="00FF476F">
      <w:pPr>
        <w:pStyle w:val="NormalWeb"/>
        <w:widowControl w:val="0"/>
        <w:numPr>
          <w:ilvl w:val="2"/>
          <w:numId w:val="4"/>
        </w:numPr>
        <w:tabs>
          <w:tab w:val="left" w:pos="6962"/>
        </w:tabs>
        <w:spacing w:before="0" w:beforeAutospacing="0" w:after="0" w:afterAutospacing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Creative activities, including development of </w:t>
      </w:r>
      <w:r w:rsidR="002B0F06">
        <w:rPr>
          <w:rFonts w:asciiTheme="majorHAnsi" w:hAnsiTheme="majorHAnsi" w:cs="Arial"/>
        </w:rPr>
        <w:t>media (</w:t>
      </w:r>
      <w:r>
        <w:rPr>
          <w:rFonts w:asciiTheme="majorHAnsi" w:hAnsiTheme="majorHAnsi" w:cs="Arial"/>
        </w:rPr>
        <w:t>video,</w:t>
      </w:r>
      <w:r w:rsidR="002B0F06">
        <w:rPr>
          <w:rFonts w:asciiTheme="majorHAnsi" w:hAnsiTheme="majorHAnsi" w:cs="Arial"/>
        </w:rPr>
        <w:t xml:space="preserve"> radio, television, or web),</w:t>
      </w:r>
      <w:r>
        <w:rPr>
          <w:rFonts w:asciiTheme="majorHAnsi" w:hAnsiTheme="majorHAnsi" w:cs="Arial"/>
        </w:rPr>
        <w:t xml:space="preserve"> literary, or performing expressions of research findings; or</w:t>
      </w:r>
    </w:p>
    <w:p w14:paraId="08BF2297" w14:textId="166A7071" w:rsidR="00F840C5" w:rsidRPr="00F840C5" w:rsidRDefault="00F840C5" w:rsidP="00FF476F">
      <w:pPr>
        <w:pStyle w:val="NormalWeb"/>
        <w:widowControl w:val="0"/>
        <w:numPr>
          <w:ilvl w:val="2"/>
          <w:numId w:val="4"/>
        </w:numPr>
        <w:tabs>
          <w:tab w:val="left" w:pos="6962"/>
        </w:tabs>
        <w:spacing w:before="0" w:beforeAutospacing="0" w:after="160" w:afterAutospacing="0"/>
        <w:ind w:left="1080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Patents.</w:t>
      </w:r>
    </w:p>
    <w:p w14:paraId="459C9E0B" w14:textId="64DE52A0" w:rsidR="00070D60" w:rsidRPr="00925EB3" w:rsidRDefault="00070D60" w:rsidP="00FF476F">
      <w:pPr>
        <w:pStyle w:val="NormalWeb"/>
        <w:widowControl w:val="0"/>
        <w:tabs>
          <w:tab w:val="left" w:pos="6962"/>
        </w:tabs>
        <w:spacing w:before="0" w:beforeAutospacing="0" w:after="0" w:afterAutospacing="0"/>
        <w:rPr>
          <w:rFonts w:asciiTheme="majorHAnsi" w:hAnsiTheme="majorHAnsi" w:cs="Arial"/>
        </w:rPr>
      </w:pP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>CALES Extension</w:t>
      </w:r>
      <w:r w:rsidR="005B4007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Review</w:t>
      </w: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Guidelines:</w:t>
      </w:r>
      <w:r w:rsidRPr="00925EB3">
        <w:rPr>
          <w:rFonts w:asciiTheme="majorHAnsi" w:hAnsiTheme="majorHAnsi" w:cs="Arial"/>
          <w:b/>
          <w:bCs/>
          <w:color w:val="000000"/>
        </w:rPr>
        <w:t xml:space="preserve"> </w:t>
      </w:r>
    </w:p>
    <w:p w14:paraId="38BD2DC8" w14:textId="65F45137" w:rsidR="0072728C" w:rsidRDefault="0072728C" w:rsidP="00FF476F">
      <w:pPr>
        <w:pStyle w:val="NormalWeb"/>
        <w:widowControl w:val="0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Extension APR reporting will include completion of two additional Activities sections of Faculty Portfolio: "Extension: CALS Cooperative Extension Program," and "Extension: Meeting and Event Affirmative Action Report."</w:t>
      </w:r>
    </w:p>
    <w:p w14:paraId="7CCD717F" w14:textId="76F05207" w:rsidR="00B443D7" w:rsidRDefault="00B443D7" w:rsidP="00FF476F">
      <w:pPr>
        <w:pStyle w:val="NormalWeb"/>
        <w:widowControl w:val="0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Unit criteria for faculty with Extension FTE must include:</w:t>
      </w:r>
    </w:p>
    <w:p w14:paraId="44C2F6FE" w14:textId="14589251" w:rsidR="00B443D7" w:rsidRDefault="00B443D7" w:rsidP="00FF476F">
      <w:pPr>
        <w:pStyle w:val="NormalWeb"/>
        <w:widowControl w:val="0"/>
        <w:numPr>
          <w:ilvl w:val="2"/>
          <w:numId w:val="5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Expectations for number of programmatic </w:t>
      </w:r>
      <w:proofErr w:type="gramStart"/>
      <w:r>
        <w:rPr>
          <w:rFonts w:asciiTheme="majorHAnsi" w:hAnsiTheme="majorHAnsi" w:cs="Arial"/>
          <w:color w:val="000000"/>
        </w:rPr>
        <w:t>focus</w:t>
      </w:r>
      <w:proofErr w:type="gramEnd"/>
      <w:r>
        <w:rPr>
          <w:rFonts w:asciiTheme="majorHAnsi" w:hAnsiTheme="majorHAnsi" w:cs="Arial"/>
          <w:color w:val="000000"/>
        </w:rPr>
        <w:t xml:space="preserve"> areas</w:t>
      </w:r>
      <w:r w:rsidR="000F34C4">
        <w:rPr>
          <w:rFonts w:asciiTheme="majorHAnsi" w:hAnsiTheme="majorHAnsi" w:cs="Arial"/>
          <w:color w:val="000000"/>
        </w:rPr>
        <w:t>;</w:t>
      </w:r>
    </w:p>
    <w:p w14:paraId="3BFF29E2" w14:textId="1670DA61" w:rsidR="00B443D7" w:rsidRDefault="000F34C4" w:rsidP="00FF476F">
      <w:pPr>
        <w:pStyle w:val="NormalWeb"/>
        <w:widowControl w:val="0"/>
        <w:numPr>
          <w:ilvl w:val="2"/>
          <w:numId w:val="5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Expectations for p</w:t>
      </w:r>
      <w:r w:rsidR="00B443D7">
        <w:rPr>
          <w:rFonts w:asciiTheme="majorHAnsi" w:hAnsiTheme="majorHAnsi" w:cs="Arial"/>
          <w:color w:val="000000"/>
        </w:rPr>
        <w:t>ublications and speaking invitations, as listed under "CALES Research," point 1a, 1b (above</w:t>
      </w:r>
      <w:proofErr w:type="gramStart"/>
      <w:r w:rsidR="00B443D7">
        <w:rPr>
          <w:rFonts w:asciiTheme="majorHAnsi" w:hAnsiTheme="majorHAnsi" w:cs="Arial"/>
          <w:color w:val="000000"/>
        </w:rPr>
        <w:t>)</w:t>
      </w:r>
      <w:r>
        <w:rPr>
          <w:rFonts w:asciiTheme="majorHAnsi" w:hAnsiTheme="majorHAnsi" w:cs="Arial"/>
          <w:color w:val="000000"/>
        </w:rPr>
        <w:t>;</w:t>
      </w:r>
      <w:proofErr w:type="gramEnd"/>
    </w:p>
    <w:p w14:paraId="0613A2C7" w14:textId="04C7A5E3" w:rsidR="00B443D7" w:rsidRDefault="000F34C4" w:rsidP="00FF476F">
      <w:pPr>
        <w:pStyle w:val="NormalWeb"/>
        <w:widowControl w:val="0"/>
        <w:numPr>
          <w:ilvl w:val="2"/>
          <w:numId w:val="5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Criteria must also consider the value of integrative and applied Extension activities (as listed under "CALES Research," point 2 (above). Specifically, Extension activities related to addressing practical problems experienced by the public and delivery of findings to targeted audiences through creative activities must be recognized in Unit criteria.</w:t>
      </w:r>
    </w:p>
    <w:p w14:paraId="3E9EAECC" w14:textId="5BFD3AAC" w:rsidR="00070D60" w:rsidRDefault="000F34C4" w:rsidP="00FF476F">
      <w:pPr>
        <w:pStyle w:val="NormalWeb"/>
        <w:widowControl w:val="0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In addition to the metrics above, faculty must report the following for each Extension program:</w:t>
      </w:r>
    </w:p>
    <w:p w14:paraId="26C5547E" w14:textId="26E94802" w:rsidR="000F34C4" w:rsidRDefault="000F34C4" w:rsidP="00FF476F">
      <w:pPr>
        <w:pStyle w:val="NormalWeb"/>
        <w:widowControl w:val="0"/>
        <w:numPr>
          <w:ilvl w:val="2"/>
          <w:numId w:val="5"/>
        </w:numPr>
        <w:spacing w:before="0" w:beforeAutospacing="0" w:after="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Sustainability: specifically, what funding is in place to support the program; what are plans to secure additional funding to ensure further program </w:t>
      </w:r>
      <w:proofErr w:type="gramStart"/>
      <w:r>
        <w:rPr>
          <w:rFonts w:asciiTheme="majorHAnsi" w:hAnsiTheme="majorHAnsi" w:cs="Arial"/>
          <w:color w:val="000000"/>
        </w:rPr>
        <w:t>success;</w:t>
      </w:r>
      <w:proofErr w:type="gramEnd"/>
    </w:p>
    <w:p w14:paraId="35EE14DE" w14:textId="3D016E42" w:rsidR="00B443D7" w:rsidRDefault="000F34C4" w:rsidP="002A5E5E">
      <w:pPr>
        <w:pStyle w:val="NormalWeb"/>
        <w:widowControl w:val="0"/>
        <w:numPr>
          <w:ilvl w:val="2"/>
          <w:numId w:val="5"/>
        </w:numPr>
        <w:spacing w:before="0" w:beforeAutospacing="0" w:after="160" w:afterAutospacing="0"/>
        <w:ind w:left="108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Impact: </w:t>
      </w:r>
      <w:r w:rsidR="002D192F">
        <w:rPr>
          <w:rFonts w:asciiTheme="majorHAnsi" w:hAnsiTheme="majorHAnsi" w:cs="Arial"/>
          <w:color w:val="000000"/>
        </w:rPr>
        <w:t xml:space="preserve">For each program, faculty must </w:t>
      </w:r>
      <w:r w:rsidR="00FF476F">
        <w:rPr>
          <w:rFonts w:asciiTheme="majorHAnsi" w:hAnsiTheme="majorHAnsi" w:cs="Arial"/>
          <w:color w:val="000000"/>
        </w:rPr>
        <w:t xml:space="preserve">describe methodologies used to assess the </w:t>
      </w:r>
      <w:r w:rsidR="00FF476F">
        <w:rPr>
          <w:rFonts w:asciiTheme="majorHAnsi" w:hAnsiTheme="majorHAnsi" w:cs="Arial"/>
          <w:color w:val="000000"/>
        </w:rPr>
        <w:lastRenderedPageBreak/>
        <w:t>broader impacts of their work. Such methodologies can be pre- and post-workshop assessments, evaluations of behavioral change, or other.</w:t>
      </w:r>
    </w:p>
    <w:p w14:paraId="6FC863F5" w14:textId="35B6065D" w:rsidR="005530A8" w:rsidRPr="00925EB3" w:rsidRDefault="005530A8" w:rsidP="005530A8">
      <w:pPr>
        <w:pStyle w:val="NormalWeb"/>
        <w:widowControl w:val="0"/>
        <w:tabs>
          <w:tab w:val="left" w:pos="6962"/>
        </w:tabs>
        <w:spacing w:before="0" w:beforeAutospacing="0" w:after="0" w:afterAutospacing="0"/>
        <w:rPr>
          <w:rFonts w:asciiTheme="majorHAnsi" w:hAnsiTheme="majorHAnsi" w:cs="Arial"/>
        </w:rPr>
      </w:pP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CALES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Service Review</w:t>
      </w:r>
      <w:r w:rsidRPr="00925EB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Guidelines:</w:t>
      </w:r>
      <w:r w:rsidRPr="00925EB3">
        <w:rPr>
          <w:rFonts w:asciiTheme="majorHAnsi" w:hAnsiTheme="majorHAnsi" w:cs="Arial"/>
          <w:b/>
          <w:bCs/>
          <w:color w:val="000000"/>
        </w:rPr>
        <w:t xml:space="preserve"> </w:t>
      </w:r>
    </w:p>
    <w:p w14:paraId="0D9D8A1E" w14:textId="460CFDF0" w:rsidR="005530A8" w:rsidRDefault="00223B50" w:rsidP="00223B50">
      <w:pPr>
        <w:pStyle w:val="NormalWeb"/>
        <w:widowControl w:val="0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Each CALES faculty member </w:t>
      </w:r>
      <w:r w:rsidR="004A044B">
        <w:rPr>
          <w:rFonts w:asciiTheme="majorHAnsi" w:hAnsiTheme="majorHAnsi" w:cs="Arial"/>
          <w:color w:val="000000"/>
        </w:rPr>
        <w:t>carrying the title of “Professor” will have a 0.1 FTE Service requirement assigned yearly. Any Service assignments above 0.1 FTE must be approved</w:t>
      </w:r>
      <w:r w:rsidR="000444FA">
        <w:rPr>
          <w:rFonts w:asciiTheme="majorHAnsi" w:hAnsiTheme="majorHAnsi" w:cs="Arial"/>
          <w:color w:val="000000"/>
        </w:rPr>
        <w:t xml:space="preserve"> annually</w:t>
      </w:r>
      <w:r w:rsidR="004A044B">
        <w:rPr>
          <w:rFonts w:asciiTheme="majorHAnsi" w:hAnsiTheme="majorHAnsi" w:cs="Arial"/>
          <w:color w:val="000000"/>
        </w:rPr>
        <w:t xml:space="preserve"> by the CALES Dean.</w:t>
      </w:r>
    </w:p>
    <w:p w14:paraId="3940025F" w14:textId="5D7D2C79" w:rsidR="004A044B" w:rsidRDefault="004A044B" w:rsidP="00223B50">
      <w:pPr>
        <w:pStyle w:val="NormalWeb"/>
        <w:widowControl w:val="0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Reported Service can vary widely, ranging from serving on departmental or College-level committees, to Service at the University level. External service</w:t>
      </w:r>
      <w:r w:rsidR="00D83060">
        <w:rPr>
          <w:rFonts w:asciiTheme="majorHAnsi" w:hAnsiTheme="majorHAnsi" w:cs="Arial"/>
          <w:color w:val="000000"/>
        </w:rPr>
        <w:t xml:space="preserve"> to the UA can include, but is not restricted to, service on advisory boards, technical assistance, expert testimony, participation in professional societies,</w:t>
      </w:r>
      <w:r w:rsidR="002A5E5E">
        <w:rPr>
          <w:rFonts w:asciiTheme="majorHAnsi" w:hAnsiTheme="majorHAnsi" w:cs="Arial"/>
          <w:color w:val="000000"/>
        </w:rPr>
        <w:t xml:space="preserve"> community service,</w:t>
      </w:r>
      <w:r w:rsidR="00D83060">
        <w:rPr>
          <w:rFonts w:asciiTheme="majorHAnsi" w:hAnsiTheme="majorHAnsi" w:cs="Arial"/>
          <w:color w:val="000000"/>
        </w:rPr>
        <w:t xml:space="preserve"> and editing/peer review.</w:t>
      </w:r>
    </w:p>
    <w:p w14:paraId="0D97868A" w14:textId="34D6E88A" w:rsidR="00D83060" w:rsidRPr="002D192F" w:rsidRDefault="00D83060" w:rsidP="00223B50">
      <w:pPr>
        <w:pStyle w:val="NormalWeb"/>
        <w:widowControl w:val="0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Recognizing that service can vary widely </w:t>
      </w:r>
      <w:proofErr w:type="gramStart"/>
      <w:r>
        <w:rPr>
          <w:rFonts w:asciiTheme="majorHAnsi" w:hAnsiTheme="majorHAnsi" w:cs="Arial"/>
          <w:color w:val="000000"/>
        </w:rPr>
        <w:t>with regard to</w:t>
      </w:r>
      <w:proofErr w:type="gramEnd"/>
      <w:r>
        <w:rPr>
          <w:rFonts w:asciiTheme="majorHAnsi" w:hAnsiTheme="majorHAnsi" w:cs="Arial"/>
          <w:color w:val="000000"/>
        </w:rPr>
        <w:t xml:space="preserve"> time commitment, Departmental Service criteria should be general</w:t>
      </w:r>
      <w:r w:rsidR="000444FA">
        <w:rPr>
          <w:rFonts w:asciiTheme="majorHAnsi" w:hAnsiTheme="majorHAnsi" w:cs="Arial"/>
          <w:color w:val="000000"/>
        </w:rPr>
        <w:t>, focusing on level of commitment rather than number of committees. For example, full-rank faculty might be expected to chair departmental committees and/or lead symposia for professional societies</w:t>
      </w:r>
      <w:r w:rsidR="002A5E5E">
        <w:rPr>
          <w:rFonts w:asciiTheme="majorHAnsi" w:hAnsiTheme="majorHAnsi" w:cs="Arial"/>
          <w:color w:val="000000"/>
        </w:rPr>
        <w:t>, whereas assistant-rank faculty may be guided by service commitments that are less time-consuming</w:t>
      </w:r>
      <w:r w:rsidR="000444FA">
        <w:rPr>
          <w:rFonts w:asciiTheme="majorHAnsi" w:hAnsiTheme="majorHAnsi" w:cs="Arial"/>
          <w:color w:val="000000"/>
        </w:rPr>
        <w:t xml:space="preserve">. </w:t>
      </w:r>
    </w:p>
    <w:p w14:paraId="5AE0F446" w14:textId="77777777" w:rsidR="00B443D7" w:rsidRDefault="00B443D7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63EEDB5C" w14:textId="77777777" w:rsidR="00B443D7" w:rsidRDefault="00B443D7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1B295D47" w14:textId="77777777" w:rsidR="00B443D7" w:rsidRDefault="00B443D7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296DEAF0" w14:textId="77777777" w:rsidR="00B443D7" w:rsidRPr="00925EB3" w:rsidRDefault="00B443D7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 w:cs="Arial"/>
        </w:rPr>
      </w:pPr>
    </w:p>
    <w:p w14:paraId="14346D23" w14:textId="77777777" w:rsidR="00070D60" w:rsidRPr="00925EB3" w:rsidRDefault="00070D60" w:rsidP="00FF476F">
      <w:pPr>
        <w:pStyle w:val="NormalWeb"/>
        <w:widowControl w:val="0"/>
        <w:spacing w:before="0" w:beforeAutospacing="0" w:after="0" w:afterAutospacing="0"/>
        <w:rPr>
          <w:rFonts w:asciiTheme="majorHAnsi" w:hAnsiTheme="majorHAnsi"/>
        </w:rPr>
      </w:pPr>
    </w:p>
    <w:p w14:paraId="50A05A9E" w14:textId="77777777" w:rsidR="00070D60" w:rsidRPr="00925EB3" w:rsidRDefault="00070D60" w:rsidP="00FF476F">
      <w:pPr>
        <w:widowControl w:val="0"/>
        <w:spacing w:line="240" w:lineRule="auto"/>
        <w:rPr>
          <w:rFonts w:asciiTheme="majorHAnsi" w:hAnsiTheme="majorHAnsi"/>
          <w:sz w:val="24"/>
          <w:szCs w:val="24"/>
        </w:rPr>
      </w:pPr>
    </w:p>
    <w:sectPr w:rsidR="00070D60" w:rsidRPr="00925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F68A" w14:textId="77777777" w:rsidR="00565FCA" w:rsidRDefault="00565FCA" w:rsidP="00BE71EB">
      <w:pPr>
        <w:spacing w:after="0" w:line="240" w:lineRule="auto"/>
      </w:pPr>
      <w:r>
        <w:separator/>
      </w:r>
    </w:p>
  </w:endnote>
  <w:endnote w:type="continuationSeparator" w:id="0">
    <w:p w14:paraId="03245DAF" w14:textId="77777777" w:rsidR="00565FCA" w:rsidRDefault="00565FCA" w:rsidP="00BE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C54F" w14:textId="77777777" w:rsidR="00BE71EB" w:rsidRDefault="00BE7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F645D" w14:textId="77777777" w:rsidR="00BE71EB" w:rsidRDefault="00BE7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5F14" w14:textId="77777777" w:rsidR="00BE71EB" w:rsidRDefault="00BE7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2D34" w14:textId="77777777" w:rsidR="00565FCA" w:rsidRDefault="00565FCA" w:rsidP="00BE71EB">
      <w:pPr>
        <w:spacing w:after="0" w:line="240" w:lineRule="auto"/>
      </w:pPr>
      <w:r>
        <w:separator/>
      </w:r>
    </w:p>
  </w:footnote>
  <w:footnote w:type="continuationSeparator" w:id="0">
    <w:p w14:paraId="7B19B633" w14:textId="77777777" w:rsidR="00565FCA" w:rsidRDefault="00565FCA" w:rsidP="00BE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9AD8" w14:textId="77777777" w:rsidR="00BE71EB" w:rsidRDefault="00BE7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6835852"/>
      <w:docPartObj>
        <w:docPartGallery w:val="Watermarks"/>
        <w:docPartUnique/>
      </w:docPartObj>
    </w:sdtPr>
    <w:sdtContent>
      <w:p w14:paraId="27E5DE14" w14:textId="1B2EF1B5" w:rsidR="00BE71EB" w:rsidRDefault="00000000">
        <w:pPr>
          <w:pStyle w:val="Header"/>
        </w:pPr>
        <w:r>
          <w:rPr>
            <w:noProof/>
          </w:rPr>
          <w:pict w14:anchorId="046455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594533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899F" w14:textId="77777777" w:rsidR="00BE71EB" w:rsidRDefault="00BE7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51C74"/>
    <w:multiLevelType w:val="hybridMultilevel"/>
    <w:tmpl w:val="BC2C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E6CA3"/>
    <w:multiLevelType w:val="multilevel"/>
    <w:tmpl w:val="CD6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2EC7"/>
    <w:multiLevelType w:val="multilevel"/>
    <w:tmpl w:val="265A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B6B9E"/>
    <w:multiLevelType w:val="multilevel"/>
    <w:tmpl w:val="45DA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47222"/>
    <w:multiLevelType w:val="multilevel"/>
    <w:tmpl w:val="B944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83C6B"/>
    <w:multiLevelType w:val="multilevel"/>
    <w:tmpl w:val="2DD6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F470F"/>
    <w:multiLevelType w:val="hybridMultilevel"/>
    <w:tmpl w:val="FD0C421C"/>
    <w:lvl w:ilvl="0" w:tplc="B10A64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6020">
    <w:abstractNumId w:val="1"/>
  </w:num>
  <w:num w:numId="2" w16cid:durableId="1513107971">
    <w:abstractNumId w:val="6"/>
  </w:num>
  <w:num w:numId="3" w16cid:durableId="849488435">
    <w:abstractNumId w:val="5"/>
  </w:num>
  <w:num w:numId="4" w16cid:durableId="546377042">
    <w:abstractNumId w:val="3"/>
  </w:num>
  <w:num w:numId="5" w16cid:durableId="584002059">
    <w:abstractNumId w:val="2"/>
  </w:num>
  <w:num w:numId="6" w16cid:durableId="2023971628">
    <w:abstractNumId w:val="4"/>
  </w:num>
  <w:num w:numId="7" w16cid:durableId="11981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36"/>
    <w:rsid w:val="00002BBC"/>
    <w:rsid w:val="000444FA"/>
    <w:rsid w:val="00070D60"/>
    <w:rsid w:val="00084F41"/>
    <w:rsid w:val="000E0E6B"/>
    <w:rsid w:val="000F34C4"/>
    <w:rsid w:val="001817CA"/>
    <w:rsid w:val="00195B45"/>
    <w:rsid w:val="00222C9F"/>
    <w:rsid w:val="00223B50"/>
    <w:rsid w:val="00247AA8"/>
    <w:rsid w:val="0028785D"/>
    <w:rsid w:val="002A5E5E"/>
    <w:rsid w:val="002B0F06"/>
    <w:rsid w:val="002C0E4B"/>
    <w:rsid w:val="002D192F"/>
    <w:rsid w:val="00301FDD"/>
    <w:rsid w:val="00336FBE"/>
    <w:rsid w:val="00477CDA"/>
    <w:rsid w:val="004A044B"/>
    <w:rsid w:val="004B03D1"/>
    <w:rsid w:val="004D49EF"/>
    <w:rsid w:val="00507EDD"/>
    <w:rsid w:val="005530A8"/>
    <w:rsid w:val="00565FCA"/>
    <w:rsid w:val="005A2D16"/>
    <w:rsid w:val="005A70EE"/>
    <w:rsid w:val="005B4007"/>
    <w:rsid w:val="005F793B"/>
    <w:rsid w:val="00614771"/>
    <w:rsid w:val="0062609C"/>
    <w:rsid w:val="00673B3A"/>
    <w:rsid w:val="006C5C36"/>
    <w:rsid w:val="006C76A4"/>
    <w:rsid w:val="006E5390"/>
    <w:rsid w:val="007061BF"/>
    <w:rsid w:val="0072728C"/>
    <w:rsid w:val="00752C88"/>
    <w:rsid w:val="007A42BC"/>
    <w:rsid w:val="008C3769"/>
    <w:rsid w:val="008C5BC0"/>
    <w:rsid w:val="009232A3"/>
    <w:rsid w:val="00925EB3"/>
    <w:rsid w:val="00926396"/>
    <w:rsid w:val="00965BBC"/>
    <w:rsid w:val="009B4E3B"/>
    <w:rsid w:val="00B443D7"/>
    <w:rsid w:val="00BB3860"/>
    <w:rsid w:val="00BE71EB"/>
    <w:rsid w:val="00BF2A76"/>
    <w:rsid w:val="00C84D14"/>
    <w:rsid w:val="00CA68D9"/>
    <w:rsid w:val="00D26B47"/>
    <w:rsid w:val="00D74922"/>
    <w:rsid w:val="00D83060"/>
    <w:rsid w:val="00D86A7E"/>
    <w:rsid w:val="00DC6F88"/>
    <w:rsid w:val="00E47ADB"/>
    <w:rsid w:val="00F36119"/>
    <w:rsid w:val="00F478B0"/>
    <w:rsid w:val="00F66F0C"/>
    <w:rsid w:val="00F840C5"/>
    <w:rsid w:val="00FE2F1C"/>
    <w:rsid w:val="00FF3B0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C163"/>
  <w15:chartTrackingRefBased/>
  <w15:docId w15:val="{AD6ABAF1-BED3-4A82-9286-535B391C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C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C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1EB"/>
  </w:style>
  <w:style w:type="paragraph" w:styleId="Footer">
    <w:name w:val="footer"/>
    <w:basedOn w:val="Normal"/>
    <w:link w:val="FooterChar"/>
    <w:uiPriority w:val="99"/>
    <w:unhideWhenUsed/>
    <w:rsid w:val="00BE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arizona.edu/annual-review-policy-updated-summer-2022-key-chang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cultyportfolio.arizona.ed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acultyaffairs.arizona.edu/evaluation-teac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tt.arizona.edu/assessment/peer-revie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Mclain, Jean - (mclainj)</cp:lastModifiedBy>
  <cp:revision>2</cp:revision>
  <cp:lastPrinted>2024-08-22T20:46:00Z</cp:lastPrinted>
  <dcterms:created xsi:type="dcterms:W3CDTF">2024-09-03T16:38:00Z</dcterms:created>
  <dcterms:modified xsi:type="dcterms:W3CDTF">2024-09-03T16:38:00Z</dcterms:modified>
</cp:coreProperties>
</file>