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EC6F" w14:textId="20BE0E48" w:rsidR="00576611" w:rsidRPr="00576611" w:rsidRDefault="00576611" w:rsidP="00576611">
      <w:pPr>
        <w:spacing w:before="1"/>
        <w:ind w:right="693"/>
        <w:jc w:val="center"/>
        <w:rPr>
          <w:rFonts w:ascii="Cambria"/>
          <w:b/>
          <w:sz w:val="24"/>
          <w:u w:val="single"/>
        </w:rPr>
      </w:pPr>
      <w:r w:rsidRPr="00576611">
        <w:rPr>
          <w:rFonts w:ascii="Cambria"/>
          <w:b/>
          <w:sz w:val="24"/>
          <w:u w:val="single"/>
        </w:rPr>
        <w:t>Area Sector Analysis Overview</w:t>
      </w:r>
    </w:p>
    <w:p w14:paraId="51C2297A" w14:textId="77777777" w:rsidR="00576611" w:rsidRDefault="00576611" w:rsidP="00576611">
      <w:pPr>
        <w:spacing w:before="1"/>
        <w:ind w:right="693"/>
        <w:rPr>
          <w:rFonts w:ascii="Cambria"/>
          <w:sz w:val="24"/>
        </w:rPr>
      </w:pPr>
    </w:p>
    <w:p w14:paraId="7BBFF052" w14:textId="77777777" w:rsidR="00576611" w:rsidRDefault="00576611" w:rsidP="00576611">
      <w:pPr>
        <w:spacing w:before="1"/>
        <w:ind w:right="693"/>
        <w:rPr>
          <w:rFonts w:ascii="Cambria"/>
          <w:sz w:val="24"/>
        </w:rPr>
      </w:pPr>
      <w:r>
        <w:rPr>
          <w:rFonts w:ascii="Cambria"/>
          <w:sz w:val="24"/>
        </w:rPr>
        <w:t xml:space="preserve">Many communities are struggling with limited employment opportunities and stagnant wages especially for working class, service and blue-collar jobs. In rural communities, problems are compounded because of declining employment in agriculture, natural resources and manufacturing, historically the primary employers of rural Americans. </w:t>
      </w:r>
    </w:p>
    <w:p w14:paraId="1FA65ECF" w14:textId="77777777" w:rsidR="00576611" w:rsidRDefault="00576611" w:rsidP="00576611">
      <w:pPr>
        <w:spacing w:before="1"/>
        <w:ind w:right="693"/>
        <w:rPr>
          <w:rFonts w:ascii="Cambria"/>
          <w:sz w:val="24"/>
        </w:rPr>
      </w:pPr>
    </w:p>
    <w:p w14:paraId="27869C2D" w14:textId="0D736996" w:rsidR="00576611" w:rsidRDefault="00576611" w:rsidP="00576611">
      <w:pPr>
        <w:spacing w:before="1"/>
        <w:ind w:right="693"/>
        <w:rPr>
          <w:rFonts w:ascii="Cambria"/>
          <w:sz w:val="24"/>
        </w:rPr>
      </w:pPr>
      <w:r>
        <w:rPr>
          <w:rFonts w:ascii="Cambria"/>
          <w:sz w:val="24"/>
        </w:rPr>
        <w:t>The Area Sector Analysis Process (</w:t>
      </w:r>
      <w:bookmarkStart w:id="0" w:name="_GoBack"/>
      <w:bookmarkEnd w:id="0"/>
      <w:r>
        <w:rPr>
          <w:rFonts w:ascii="Cambria"/>
          <w:sz w:val="24"/>
        </w:rPr>
        <w:t>ASAP) is an economic development tool that identifies the most desirable and compatible industries for a specific community. Desirability is determined by how closely industry practices and outcomes align with community goals and priorities. How well community resources and assets meet the production requirements of each industry determine compatibility. Identifying which industry sectors are most compatible and most desirable</w:t>
      </w:r>
      <w:r>
        <w:rPr>
          <w:rFonts w:ascii="Cambria"/>
          <w:spacing w:val="-6"/>
          <w:sz w:val="24"/>
        </w:rPr>
        <w:t xml:space="preserve"> </w:t>
      </w:r>
      <w:r>
        <w:rPr>
          <w:rFonts w:ascii="Cambria"/>
          <w:sz w:val="24"/>
        </w:rPr>
        <w:t>with</w:t>
      </w:r>
      <w:r>
        <w:rPr>
          <w:rFonts w:ascii="Cambria"/>
          <w:spacing w:val="-6"/>
          <w:sz w:val="24"/>
        </w:rPr>
        <w:t xml:space="preserve"> </w:t>
      </w:r>
      <w:r>
        <w:rPr>
          <w:rFonts w:ascii="Cambria"/>
          <w:sz w:val="24"/>
        </w:rPr>
        <w:t>a</w:t>
      </w:r>
      <w:r>
        <w:rPr>
          <w:rFonts w:ascii="Cambria"/>
          <w:spacing w:val="-6"/>
          <w:sz w:val="24"/>
        </w:rPr>
        <w:t xml:space="preserve"> </w:t>
      </w:r>
      <w:r>
        <w:rPr>
          <w:rFonts w:ascii="Cambria"/>
          <w:sz w:val="24"/>
        </w:rPr>
        <w:t>community</w:t>
      </w:r>
      <w:r>
        <w:rPr>
          <w:rFonts w:ascii="Cambria"/>
          <w:spacing w:val="-5"/>
          <w:sz w:val="24"/>
        </w:rPr>
        <w:t xml:space="preserve"> </w:t>
      </w:r>
      <w:r>
        <w:rPr>
          <w:rFonts w:ascii="Cambria"/>
          <w:sz w:val="24"/>
        </w:rPr>
        <w:t>is</w:t>
      </w:r>
      <w:r>
        <w:rPr>
          <w:rFonts w:ascii="Cambria"/>
          <w:spacing w:val="-3"/>
          <w:sz w:val="24"/>
        </w:rPr>
        <w:t xml:space="preserve"> </w:t>
      </w:r>
      <w:r>
        <w:rPr>
          <w:rFonts w:ascii="Cambria"/>
          <w:sz w:val="24"/>
        </w:rPr>
        <w:t>a</w:t>
      </w:r>
      <w:r>
        <w:rPr>
          <w:rFonts w:ascii="Cambria"/>
          <w:spacing w:val="-6"/>
          <w:sz w:val="24"/>
        </w:rPr>
        <w:t xml:space="preserve"> </w:t>
      </w:r>
      <w:r>
        <w:rPr>
          <w:rFonts w:ascii="Cambria"/>
          <w:sz w:val="24"/>
        </w:rPr>
        <w:t>key</w:t>
      </w:r>
      <w:r>
        <w:rPr>
          <w:rFonts w:ascii="Cambria"/>
          <w:spacing w:val="-5"/>
          <w:sz w:val="24"/>
        </w:rPr>
        <w:t xml:space="preserve"> </w:t>
      </w:r>
      <w:r>
        <w:rPr>
          <w:rFonts w:ascii="Cambria"/>
          <w:sz w:val="24"/>
        </w:rPr>
        <w:t>component</w:t>
      </w:r>
      <w:r>
        <w:rPr>
          <w:rFonts w:ascii="Cambria"/>
          <w:spacing w:val="-5"/>
          <w:sz w:val="24"/>
        </w:rPr>
        <w:t xml:space="preserve"> </w:t>
      </w:r>
      <w:r>
        <w:rPr>
          <w:rFonts w:ascii="Cambria"/>
          <w:sz w:val="24"/>
        </w:rPr>
        <w:t>to developing</w:t>
      </w:r>
      <w:r>
        <w:rPr>
          <w:rFonts w:ascii="Cambria"/>
          <w:spacing w:val="-1"/>
          <w:sz w:val="24"/>
        </w:rPr>
        <w:t xml:space="preserve"> </w:t>
      </w:r>
      <w:r>
        <w:rPr>
          <w:rFonts w:ascii="Cambria"/>
          <w:sz w:val="24"/>
        </w:rPr>
        <w:t>sustainable</w:t>
      </w:r>
      <w:r>
        <w:rPr>
          <w:rFonts w:ascii="Cambria"/>
          <w:spacing w:val="-4"/>
          <w:sz w:val="24"/>
        </w:rPr>
        <w:t xml:space="preserve"> </w:t>
      </w:r>
      <w:r>
        <w:rPr>
          <w:rFonts w:ascii="Cambria"/>
          <w:sz w:val="24"/>
        </w:rPr>
        <w:t>economic strategies. ASAP is rooted in the idea that what defines sustainable economic development is unique to each community. In other words, while communities may appear similar, each community has goals, priorities, and assets specific to their population and location. Moreover, ASAP framework is informed by the theory that community development strategies should reflect both community and industry preferences in order to be successful over time. Numerous communities have successfully implemented ASAP thus far in Arizona, California, Idaho, Minnesota, Montana, Nevada, New Mexico, and</w:t>
      </w:r>
      <w:r>
        <w:rPr>
          <w:rFonts w:ascii="Cambria"/>
          <w:spacing w:val="6"/>
          <w:sz w:val="24"/>
        </w:rPr>
        <w:t xml:space="preserve"> </w:t>
      </w:r>
      <w:r>
        <w:rPr>
          <w:rFonts w:ascii="Cambria"/>
          <w:sz w:val="24"/>
        </w:rPr>
        <w:t>Utah.</w:t>
      </w:r>
    </w:p>
    <w:p w14:paraId="72223C2B" w14:textId="77777777" w:rsidR="00576611" w:rsidRDefault="00576611" w:rsidP="00576611">
      <w:pPr>
        <w:ind w:left="1520" w:right="718" w:firstLine="720"/>
        <w:rPr>
          <w:rFonts w:ascii="Cambria"/>
          <w:sz w:val="24"/>
        </w:rPr>
      </w:pPr>
    </w:p>
    <w:p w14:paraId="266B3BF4" w14:textId="77777777" w:rsidR="00576611" w:rsidRDefault="00576611" w:rsidP="00576611">
      <w:pPr>
        <w:ind w:right="718" w:firstLine="90"/>
        <w:rPr>
          <w:rFonts w:ascii="Cambria"/>
          <w:sz w:val="24"/>
        </w:rPr>
      </w:pPr>
      <w:r>
        <w:rPr>
          <w:rFonts w:ascii="Cambria"/>
          <w:sz w:val="24"/>
        </w:rPr>
        <w:t>The ASAP module consists of six modules:</w:t>
      </w:r>
    </w:p>
    <w:p w14:paraId="7AE7BCB4" w14:textId="77777777" w:rsidR="00576611" w:rsidRDefault="00576611" w:rsidP="00576611">
      <w:pPr>
        <w:ind w:right="718"/>
        <w:rPr>
          <w:rFonts w:ascii="Cambria"/>
          <w:sz w:val="24"/>
        </w:rPr>
      </w:pPr>
    </w:p>
    <w:p w14:paraId="273F4705" w14:textId="77777777" w:rsidR="00576611" w:rsidRDefault="00576611" w:rsidP="00576611">
      <w:pPr>
        <w:ind w:left="90" w:right="720"/>
        <w:rPr>
          <w:rFonts w:ascii="Cambria"/>
          <w:sz w:val="24"/>
        </w:rPr>
      </w:pPr>
      <w:r w:rsidRPr="00F34763">
        <w:rPr>
          <w:rFonts w:ascii="Cambria"/>
          <w:b/>
          <w:sz w:val="24"/>
        </w:rPr>
        <w:t>Module One</w:t>
      </w:r>
      <w:r>
        <w:rPr>
          <w:rFonts w:ascii="Cambria"/>
          <w:sz w:val="24"/>
        </w:rPr>
        <w:t xml:space="preserve"> </w:t>
      </w:r>
      <w:r>
        <w:rPr>
          <w:rFonts w:ascii="Cambria"/>
          <w:sz w:val="24"/>
        </w:rPr>
        <w:t>–</w:t>
      </w:r>
      <w:r>
        <w:rPr>
          <w:rFonts w:ascii="Cambria"/>
          <w:sz w:val="24"/>
        </w:rPr>
        <w:t xml:space="preserve"> The Steering Committee is presented an overview of the ASAP process so that they understand the logistics and goals and they understand their responsibilities.</w:t>
      </w:r>
    </w:p>
    <w:p w14:paraId="41944795" w14:textId="77777777" w:rsidR="00576611" w:rsidRDefault="00576611" w:rsidP="00576611">
      <w:pPr>
        <w:ind w:left="90" w:right="720"/>
        <w:rPr>
          <w:rFonts w:ascii="Cambria"/>
          <w:sz w:val="24"/>
        </w:rPr>
      </w:pPr>
      <w:r>
        <w:rPr>
          <w:rFonts w:ascii="Cambria"/>
          <w:sz w:val="24"/>
        </w:rPr>
        <w:tab/>
      </w:r>
      <w:r>
        <w:rPr>
          <w:rFonts w:ascii="Cambria"/>
          <w:sz w:val="24"/>
        </w:rPr>
        <w:tab/>
      </w:r>
    </w:p>
    <w:p w14:paraId="708B04E1" w14:textId="77777777" w:rsidR="00576611" w:rsidRDefault="00576611" w:rsidP="00576611">
      <w:pPr>
        <w:ind w:left="90" w:right="720"/>
        <w:rPr>
          <w:rFonts w:ascii="Cambria"/>
          <w:sz w:val="24"/>
        </w:rPr>
      </w:pPr>
      <w:r w:rsidRPr="00F34763">
        <w:rPr>
          <w:rFonts w:ascii="Cambria"/>
          <w:b/>
          <w:sz w:val="24"/>
        </w:rPr>
        <w:t>Module Two</w:t>
      </w:r>
      <w:r>
        <w:rPr>
          <w:rFonts w:ascii="Cambria"/>
          <w:sz w:val="24"/>
        </w:rPr>
        <w:t xml:space="preserve"> </w:t>
      </w:r>
      <w:r>
        <w:rPr>
          <w:rFonts w:ascii="Cambria"/>
          <w:sz w:val="24"/>
        </w:rPr>
        <w:t>–</w:t>
      </w:r>
      <w:r>
        <w:rPr>
          <w:rFonts w:ascii="Cambria"/>
          <w:sz w:val="24"/>
        </w:rPr>
        <w:t xml:space="preserve"> The ASAP goals and assets surveys are presented to the Steering Committee. Plans are made to complete one asset survey and make plans to have a broad segment of committee residents complete the goals survey.</w:t>
      </w:r>
    </w:p>
    <w:p w14:paraId="20471F34" w14:textId="77777777" w:rsidR="00576611" w:rsidRDefault="00576611" w:rsidP="00576611">
      <w:pPr>
        <w:ind w:left="90" w:right="720"/>
        <w:rPr>
          <w:rFonts w:ascii="Cambria"/>
          <w:sz w:val="24"/>
        </w:rPr>
      </w:pPr>
    </w:p>
    <w:p w14:paraId="6384E448" w14:textId="492A2451" w:rsidR="00576611" w:rsidRDefault="00576611" w:rsidP="00576611">
      <w:pPr>
        <w:ind w:left="90" w:right="720"/>
        <w:rPr>
          <w:rFonts w:ascii="Cambria"/>
          <w:sz w:val="24"/>
        </w:rPr>
      </w:pPr>
      <w:r w:rsidRPr="00F34763">
        <w:rPr>
          <w:rFonts w:ascii="Cambria"/>
          <w:b/>
          <w:sz w:val="24"/>
        </w:rPr>
        <w:t>Module Three</w:t>
      </w:r>
      <w:r>
        <w:rPr>
          <w:rFonts w:ascii="Cambria"/>
          <w:sz w:val="24"/>
        </w:rPr>
        <w:t xml:space="preserve"> </w:t>
      </w:r>
      <w:r>
        <w:rPr>
          <w:rFonts w:ascii="Cambria"/>
          <w:sz w:val="24"/>
        </w:rPr>
        <w:t>–</w:t>
      </w:r>
      <w:r>
        <w:rPr>
          <w:rFonts w:ascii="Cambria"/>
          <w:sz w:val="24"/>
        </w:rPr>
        <w:t xml:space="preserve"> The completed goals and asset surveys are returned to the ASAP team by Steering Committee members. These surveys will then be sent to University of Nevada-Reno where the model will be run. An overview of local and national economic development trends </w:t>
      </w:r>
      <w:r>
        <w:rPr>
          <w:rFonts w:ascii="Cambria"/>
          <w:sz w:val="24"/>
        </w:rPr>
        <w:t>is</w:t>
      </w:r>
      <w:r>
        <w:rPr>
          <w:rFonts w:ascii="Cambria"/>
          <w:sz w:val="24"/>
        </w:rPr>
        <w:t xml:space="preserve"> then presented. This knowledge will assist the steering committee in developing their strategic plan.</w:t>
      </w:r>
    </w:p>
    <w:p w14:paraId="7C36888D" w14:textId="77777777" w:rsidR="00576611" w:rsidRDefault="00576611" w:rsidP="00576611">
      <w:pPr>
        <w:ind w:left="90" w:right="720"/>
        <w:rPr>
          <w:rFonts w:ascii="Cambria"/>
          <w:sz w:val="24"/>
        </w:rPr>
      </w:pPr>
    </w:p>
    <w:p w14:paraId="532186BA" w14:textId="77777777" w:rsidR="00576611" w:rsidRDefault="00576611" w:rsidP="00576611">
      <w:pPr>
        <w:ind w:left="90" w:right="720"/>
        <w:rPr>
          <w:rFonts w:ascii="Cambria"/>
          <w:sz w:val="24"/>
        </w:rPr>
      </w:pPr>
      <w:r w:rsidRPr="00F34763">
        <w:rPr>
          <w:rFonts w:ascii="Cambria"/>
          <w:b/>
          <w:sz w:val="24"/>
        </w:rPr>
        <w:t>Module Four</w:t>
      </w:r>
      <w:r>
        <w:rPr>
          <w:rFonts w:ascii="Cambria"/>
          <w:sz w:val="24"/>
        </w:rPr>
        <w:t xml:space="preserve"> </w:t>
      </w:r>
      <w:r>
        <w:rPr>
          <w:rFonts w:ascii="Cambria"/>
          <w:sz w:val="24"/>
        </w:rPr>
        <w:t>–</w:t>
      </w:r>
      <w:r>
        <w:rPr>
          <w:rFonts w:ascii="Cambria"/>
          <w:sz w:val="24"/>
        </w:rPr>
        <w:t xml:space="preserve"> Results of the ASAP model are presented to the Steering Committee. Information about how to read and understand model outputs is provided.</w:t>
      </w:r>
    </w:p>
    <w:p w14:paraId="483A7100" w14:textId="77777777" w:rsidR="00576611" w:rsidRDefault="00576611" w:rsidP="00576611">
      <w:pPr>
        <w:ind w:left="90" w:right="720"/>
        <w:rPr>
          <w:rFonts w:ascii="Cambria"/>
          <w:sz w:val="24"/>
        </w:rPr>
      </w:pPr>
    </w:p>
    <w:p w14:paraId="050DE844" w14:textId="77777777" w:rsidR="00576611" w:rsidRDefault="00576611" w:rsidP="00576611">
      <w:pPr>
        <w:ind w:left="90" w:right="720"/>
        <w:rPr>
          <w:rFonts w:ascii="Cambria"/>
          <w:sz w:val="24"/>
        </w:rPr>
      </w:pPr>
      <w:r w:rsidRPr="00F34763">
        <w:rPr>
          <w:rFonts w:ascii="Cambria"/>
          <w:b/>
          <w:sz w:val="24"/>
        </w:rPr>
        <w:t>Module Five</w:t>
      </w:r>
      <w:r>
        <w:rPr>
          <w:rFonts w:ascii="Cambria"/>
          <w:sz w:val="24"/>
        </w:rPr>
        <w:t xml:space="preserve"> </w:t>
      </w:r>
      <w:r>
        <w:rPr>
          <w:rFonts w:ascii="Cambria"/>
          <w:sz w:val="24"/>
        </w:rPr>
        <w:t>–</w:t>
      </w:r>
      <w:r>
        <w:rPr>
          <w:rFonts w:ascii="Cambria"/>
          <w:sz w:val="24"/>
        </w:rPr>
        <w:t xml:space="preserve"> Typically, the ASAP model will determine between 10 and 70 </w:t>
      </w:r>
      <w:r>
        <w:rPr>
          <w:rFonts w:ascii="Cambria"/>
          <w:sz w:val="24"/>
        </w:rPr>
        <w:lastRenderedPageBreak/>
        <w:t xml:space="preserve">industrial sectors that are both desirable and compatible. Between Modules Four and Five, the ASAP team works with the Steering Committee to reduce the number of targets to about 12. During this module, detailed information is presented on the 12 selected sectors. </w:t>
      </w:r>
      <w:r>
        <w:rPr>
          <w:rFonts w:ascii="Cambria"/>
          <w:sz w:val="24"/>
        </w:rPr>
        <w:tab/>
      </w:r>
    </w:p>
    <w:p w14:paraId="01943553" w14:textId="77777777" w:rsidR="00576611" w:rsidRDefault="00576611" w:rsidP="00576611">
      <w:pPr>
        <w:ind w:left="90" w:right="720"/>
        <w:rPr>
          <w:rFonts w:ascii="Cambria"/>
          <w:sz w:val="24"/>
        </w:rPr>
      </w:pPr>
    </w:p>
    <w:p w14:paraId="5AAB5B97" w14:textId="0E892242" w:rsidR="00A22717" w:rsidRDefault="00576611" w:rsidP="00576611">
      <w:pPr>
        <w:ind w:left="90"/>
      </w:pPr>
      <w:r w:rsidRPr="00F34763">
        <w:rPr>
          <w:rFonts w:ascii="Cambria"/>
          <w:b/>
          <w:sz w:val="24"/>
        </w:rPr>
        <w:t>Module Six</w:t>
      </w:r>
      <w:r>
        <w:rPr>
          <w:rFonts w:ascii="Cambria"/>
          <w:sz w:val="24"/>
        </w:rPr>
        <w:t xml:space="preserve"> </w:t>
      </w:r>
      <w:r>
        <w:rPr>
          <w:rFonts w:ascii="Cambria"/>
          <w:sz w:val="24"/>
        </w:rPr>
        <w:t>–</w:t>
      </w:r>
      <w:r>
        <w:rPr>
          <w:rFonts w:ascii="Cambria"/>
          <w:sz w:val="24"/>
        </w:rPr>
        <w:t xml:space="preserve"> The ASAP team and the Steering Committee work together to select 2</w:t>
      </w:r>
      <w:r>
        <w:rPr>
          <w:rFonts w:ascii="Cambria"/>
          <w:sz w:val="24"/>
        </w:rPr>
        <w:t>-6 sectors to be included in a final</w:t>
      </w:r>
      <w:r>
        <w:rPr>
          <w:rFonts w:ascii="Cambria"/>
          <w:sz w:val="24"/>
        </w:rPr>
        <w:t xml:space="preserve"> strategic plan.</w:t>
      </w:r>
    </w:p>
    <w:sectPr w:rsidR="00A22717" w:rsidSect="00576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11"/>
    <w:rsid w:val="00314030"/>
    <w:rsid w:val="00327D01"/>
    <w:rsid w:val="00576611"/>
    <w:rsid w:val="00847E0F"/>
    <w:rsid w:val="00A67ADD"/>
    <w:rsid w:val="00BA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1095"/>
  <w15:chartTrackingRefBased/>
  <w15:docId w15:val="{E21E06C6-3EC0-5E40-A430-756F2FA8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576611"/>
    <w:pPr>
      <w:widowControl w:val="0"/>
      <w:autoSpaceDE w:val="0"/>
      <w:autoSpaceDN w:val="0"/>
    </w:pPr>
    <w:rPr>
      <w:rFonts w:ascii="Calibri" w:eastAsia="Calibri" w:hAnsi="Calibri" w:cs="Calibr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6611"/>
  </w:style>
  <w:style w:type="character" w:customStyle="1" w:styleId="BodyTextChar">
    <w:name w:val="Body Text Char"/>
    <w:basedOn w:val="DefaultParagraphFont"/>
    <w:link w:val="BodyText"/>
    <w:uiPriority w:val="1"/>
    <w:rsid w:val="00576611"/>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Apel, Mark B - (mapel)</dc:creator>
  <cp:keywords/>
  <dc:description/>
  <cp:lastModifiedBy>Apel, Mark B - (mapel)</cp:lastModifiedBy>
  <cp:revision>1</cp:revision>
  <dcterms:created xsi:type="dcterms:W3CDTF">2018-08-29T18:02:00Z</dcterms:created>
  <dcterms:modified xsi:type="dcterms:W3CDTF">2018-08-29T18:08:00Z</dcterms:modified>
</cp:coreProperties>
</file>