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8A7" w:rsidRPr="00061705" w:rsidRDefault="005C58A7" w:rsidP="005C58A7">
      <w:pPr>
        <w:pStyle w:val="LetterTitle"/>
      </w:pPr>
      <w:r w:rsidRPr="00061705">
        <w:t>MEMORANDUM</w:t>
      </w:r>
    </w:p>
    <w:p w:rsidR="005C58A7" w:rsidRPr="005C58A7" w:rsidRDefault="005C58A7" w:rsidP="005C58A7">
      <w:pPr>
        <w:pStyle w:val="OpeningBlock"/>
        <w:rPr>
          <w:color w:val="101939"/>
        </w:rPr>
      </w:pPr>
      <w:r w:rsidRPr="00DF4940">
        <w:rPr>
          <w:b/>
          <w:color w:val="101939"/>
        </w:rPr>
        <w:t>Date:</w:t>
      </w:r>
      <w:r w:rsidRPr="00F40981">
        <w:rPr>
          <w:b/>
          <w:color w:val="101939"/>
        </w:rPr>
        <w:t xml:space="preserve"> </w:t>
      </w:r>
      <w:r w:rsidRPr="00F40981">
        <w:rPr>
          <w:b/>
          <w:color w:val="101939"/>
        </w:rPr>
        <w:tab/>
      </w:r>
      <w:r>
        <w:rPr>
          <w:color w:val="101939"/>
        </w:rPr>
        <w:t>January 17, 2017</w:t>
      </w:r>
    </w:p>
    <w:p w:rsidR="005C58A7" w:rsidRPr="00DF4940" w:rsidRDefault="005C58A7" w:rsidP="005C58A7">
      <w:pPr>
        <w:pStyle w:val="OpeningBlock"/>
        <w:rPr>
          <w:color w:val="101939"/>
          <w:sz w:val="32"/>
        </w:rPr>
      </w:pPr>
      <w:r w:rsidRPr="00DF4940">
        <w:rPr>
          <w:b/>
          <w:color w:val="101939"/>
        </w:rPr>
        <w:t>To:</w:t>
      </w:r>
      <w:r w:rsidRPr="00DF4940">
        <w:rPr>
          <w:color w:val="101939"/>
        </w:rPr>
        <w:t xml:space="preserve"> </w:t>
      </w:r>
      <w:r w:rsidR="00BC23D1">
        <w:rPr>
          <w:color w:val="101939"/>
        </w:rPr>
        <w:tab/>
        <w:t>Unit H</w:t>
      </w:r>
      <w:r>
        <w:rPr>
          <w:color w:val="101939"/>
        </w:rPr>
        <w:t>eads and Business Officers</w:t>
      </w:r>
    </w:p>
    <w:p w:rsidR="005C58A7" w:rsidRPr="00DF4940" w:rsidRDefault="005C58A7" w:rsidP="005C58A7">
      <w:pPr>
        <w:pStyle w:val="OpeningBlock"/>
        <w:rPr>
          <w:color w:val="101939"/>
        </w:rPr>
      </w:pPr>
      <w:r w:rsidRPr="00DF4940">
        <w:rPr>
          <w:b/>
          <w:color w:val="101939"/>
        </w:rPr>
        <w:t>From:</w:t>
      </w:r>
      <w:r w:rsidRPr="00DF4940">
        <w:rPr>
          <w:color w:val="101939"/>
        </w:rPr>
        <w:t xml:space="preserve"> </w:t>
      </w:r>
      <w:r>
        <w:rPr>
          <w:color w:val="101939"/>
        </w:rPr>
        <w:tab/>
        <w:t>Allison Ketterling, Business Analyst, Senior- Personnel</w:t>
      </w:r>
    </w:p>
    <w:p w:rsidR="005C58A7" w:rsidRPr="00DF4940" w:rsidRDefault="005C58A7" w:rsidP="005C58A7">
      <w:pPr>
        <w:pStyle w:val="OpeningBlock"/>
        <w:rPr>
          <w:color w:val="101939"/>
        </w:rPr>
      </w:pPr>
      <w:r w:rsidRPr="00DF4940">
        <w:rPr>
          <w:b/>
          <w:color w:val="101939"/>
        </w:rPr>
        <w:t xml:space="preserve">Re: </w:t>
      </w:r>
      <w:r>
        <w:rPr>
          <w:b/>
          <w:color w:val="101939"/>
        </w:rPr>
        <w:tab/>
        <w:t>FY 18 Proposed ERE and Salary Adjustments</w:t>
      </w:r>
    </w:p>
    <w:p w:rsidR="005C58A7" w:rsidRDefault="00AE33F3" w:rsidP="005C58A7">
      <w:pPr>
        <w:pStyle w:val="Body"/>
      </w:pPr>
      <w:r>
        <w:t xml:space="preserve">In an effort to </w:t>
      </w:r>
      <w:r w:rsidR="002C0BCB">
        <w:t>be transparent and assist units with your FY</w:t>
      </w:r>
      <w:r w:rsidR="006B495D">
        <w:t xml:space="preserve"> </w:t>
      </w:r>
      <w:bookmarkStart w:id="0" w:name="_GoBack"/>
      <w:bookmarkEnd w:id="0"/>
      <w:r w:rsidR="002C0BCB">
        <w:t>18</w:t>
      </w:r>
      <w:r w:rsidR="002F1EDA">
        <w:t xml:space="preserve"> personnel</w:t>
      </w:r>
      <w:r w:rsidR="005C2C0C">
        <w:t xml:space="preserve"> planning, t</w:t>
      </w:r>
      <w:r>
        <w:t xml:space="preserve">he University of Arizona has made </w:t>
      </w:r>
      <w:r w:rsidR="005C2C0C">
        <w:t>the following recommendations.</w:t>
      </w:r>
      <w:r w:rsidR="006A5E96">
        <w:t xml:space="preserve">  Please incorporate these factors into your unit budgeting process. </w:t>
      </w:r>
    </w:p>
    <w:p w:rsidR="00A37A25" w:rsidRDefault="00AE33F3" w:rsidP="00A37A25">
      <w:pPr>
        <w:pStyle w:val="Heading"/>
      </w:pPr>
      <w:r w:rsidRPr="00A37A25">
        <w:rPr>
          <w:sz w:val="24"/>
        </w:rPr>
        <w:t>FY 18 Planning Assumptions</w:t>
      </w:r>
      <w:r w:rsidR="005C2C0C">
        <w:rPr>
          <w:sz w:val="24"/>
        </w:rPr>
        <w:t xml:space="preserve"> (</w:t>
      </w:r>
      <w:r w:rsidR="005C2C0C" w:rsidRPr="006A5E96">
        <w:rPr>
          <w:color w:val="FF0000"/>
          <w:sz w:val="24"/>
        </w:rPr>
        <w:t>subject to change</w:t>
      </w:r>
      <w:r w:rsidR="005C2C0C">
        <w:rPr>
          <w:sz w:val="24"/>
        </w:rPr>
        <w:t>)</w:t>
      </w:r>
      <w:r>
        <w:br/>
      </w:r>
      <w:r>
        <w:tab/>
      </w:r>
      <w:r w:rsidRPr="00A37A25">
        <w:rPr>
          <w:sz w:val="24"/>
        </w:rPr>
        <w:t>ERE</w:t>
      </w:r>
    </w:p>
    <w:p w:rsidR="00A37A25" w:rsidRPr="00A37A25" w:rsidRDefault="00A37A25" w:rsidP="00A37A25">
      <w:pPr>
        <w:pStyle w:val="Heading"/>
        <w:numPr>
          <w:ilvl w:val="0"/>
          <w:numId w:val="12"/>
        </w:numPr>
        <w:spacing w:before="0" w:after="0" w:line="240" w:lineRule="auto"/>
        <w:rPr>
          <w:b w:val="0"/>
          <w:sz w:val="22"/>
        </w:rPr>
      </w:pPr>
      <w:r w:rsidRPr="00A37A25">
        <w:rPr>
          <w:b w:val="0"/>
          <w:sz w:val="22"/>
        </w:rPr>
        <w:t>Full Benefi</w:t>
      </w:r>
      <w:r w:rsidR="005C2C0C">
        <w:rPr>
          <w:b w:val="0"/>
          <w:sz w:val="22"/>
        </w:rPr>
        <w:t xml:space="preserve">ts (Classified, Appointed, </w:t>
      </w:r>
      <w:r w:rsidR="006A5E96">
        <w:rPr>
          <w:b w:val="0"/>
          <w:sz w:val="22"/>
        </w:rPr>
        <w:t xml:space="preserve">Faculty </w:t>
      </w:r>
      <w:r w:rsidR="005C2C0C">
        <w:rPr>
          <w:b w:val="0"/>
          <w:sz w:val="22"/>
        </w:rPr>
        <w:t>&amp; Faculty Ancillary)- 2 percentage point reduction</w:t>
      </w:r>
    </w:p>
    <w:p w:rsidR="00A37A25" w:rsidRPr="00A37A25" w:rsidRDefault="005C2C0C" w:rsidP="00A37A25">
      <w:pPr>
        <w:pStyle w:val="Heading"/>
        <w:numPr>
          <w:ilvl w:val="0"/>
          <w:numId w:val="12"/>
        </w:numPr>
        <w:spacing w:before="0" w:after="0" w:line="240" w:lineRule="auto"/>
        <w:rPr>
          <w:b w:val="0"/>
          <w:sz w:val="22"/>
        </w:rPr>
      </w:pPr>
      <w:r>
        <w:rPr>
          <w:b w:val="0"/>
          <w:sz w:val="22"/>
        </w:rPr>
        <w:t>Temporary Employees- 4 percentage point increase</w:t>
      </w:r>
    </w:p>
    <w:p w:rsidR="00A37A25" w:rsidRPr="00A37A25" w:rsidRDefault="00A37A25" w:rsidP="00A37A25">
      <w:pPr>
        <w:pStyle w:val="Heading"/>
        <w:numPr>
          <w:ilvl w:val="0"/>
          <w:numId w:val="12"/>
        </w:numPr>
        <w:spacing w:before="0" w:after="0" w:line="240" w:lineRule="auto"/>
        <w:rPr>
          <w:b w:val="0"/>
          <w:sz w:val="22"/>
        </w:rPr>
      </w:pPr>
      <w:r w:rsidRPr="00A37A25">
        <w:rPr>
          <w:b w:val="0"/>
          <w:sz w:val="22"/>
        </w:rPr>
        <w:t>S</w:t>
      </w:r>
      <w:r w:rsidR="005C2C0C">
        <w:rPr>
          <w:b w:val="0"/>
          <w:sz w:val="22"/>
        </w:rPr>
        <w:t>tudent Employees- 0.50 percentage point increase</w:t>
      </w:r>
    </w:p>
    <w:p w:rsidR="005C2C0C" w:rsidRDefault="00A37A25" w:rsidP="00A37A25">
      <w:pPr>
        <w:pStyle w:val="Heading"/>
        <w:numPr>
          <w:ilvl w:val="0"/>
          <w:numId w:val="12"/>
        </w:numPr>
        <w:spacing w:before="0" w:after="0" w:line="240" w:lineRule="auto"/>
        <w:rPr>
          <w:b w:val="0"/>
          <w:sz w:val="22"/>
        </w:rPr>
      </w:pPr>
      <w:r w:rsidRPr="00A37A25">
        <w:rPr>
          <w:b w:val="0"/>
          <w:sz w:val="22"/>
        </w:rPr>
        <w:t>Graduate Assistants- NO change</w:t>
      </w:r>
    </w:p>
    <w:p w:rsidR="006A5E96" w:rsidRDefault="005C2C0C" w:rsidP="00A37A25">
      <w:pPr>
        <w:pStyle w:val="Heading"/>
        <w:numPr>
          <w:ilvl w:val="0"/>
          <w:numId w:val="12"/>
        </w:numPr>
        <w:spacing w:before="0" w:after="0" w:line="240" w:lineRule="auto"/>
        <w:rPr>
          <w:b w:val="0"/>
          <w:sz w:val="22"/>
        </w:rPr>
      </w:pPr>
      <w:r>
        <w:rPr>
          <w:b w:val="0"/>
          <w:sz w:val="22"/>
        </w:rPr>
        <w:t>Don’t spend your ERE savings- FY 19 rates will likely increase</w:t>
      </w:r>
      <w:r w:rsidR="006A5E96">
        <w:rPr>
          <w:b w:val="0"/>
          <w:sz w:val="22"/>
        </w:rPr>
        <w:t xml:space="preserve"> (e.g. change in Affordable Care Act, FLSA resolution, minimum wage)</w:t>
      </w:r>
      <w:r w:rsidR="00AE33F3" w:rsidRPr="00A37A25">
        <w:rPr>
          <w:b w:val="0"/>
          <w:sz w:val="22"/>
        </w:rPr>
        <w:br/>
      </w:r>
    </w:p>
    <w:p w:rsidR="00AE33F3" w:rsidRPr="00A37A25" w:rsidRDefault="006A5E96" w:rsidP="006A5E96">
      <w:pPr>
        <w:pStyle w:val="Heading"/>
        <w:spacing w:before="0" w:after="0" w:line="240" w:lineRule="auto"/>
        <w:ind w:left="360"/>
        <w:rPr>
          <w:b w:val="0"/>
          <w:sz w:val="22"/>
        </w:rPr>
      </w:pPr>
      <w:r>
        <w:rPr>
          <w:b w:val="0"/>
          <w:sz w:val="22"/>
        </w:rPr>
        <w:t>Pursuant to college policy, use of ERE savings for non-ERE expenses requires approval from Business Services.</w:t>
      </w:r>
      <w:r w:rsidR="00AE33F3" w:rsidRPr="00A37A25">
        <w:rPr>
          <w:b w:val="0"/>
          <w:sz w:val="22"/>
        </w:rPr>
        <w:tab/>
      </w:r>
      <w:r w:rsidR="00AE33F3" w:rsidRPr="00A37A25">
        <w:rPr>
          <w:b w:val="0"/>
          <w:sz w:val="22"/>
        </w:rPr>
        <w:tab/>
      </w:r>
    </w:p>
    <w:p w:rsidR="00AE33F3" w:rsidRDefault="00A37A25" w:rsidP="00A37A25">
      <w:pPr>
        <w:pStyle w:val="Heading"/>
        <w:ind w:left="720"/>
        <w:rPr>
          <w:sz w:val="24"/>
        </w:rPr>
      </w:pPr>
      <w:r w:rsidRPr="00A37A25">
        <w:rPr>
          <w:sz w:val="24"/>
        </w:rPr>
        <w:t>Salary Adjustments</w:t>
      </w:r>
    </w:p>
    <w:p w:rsidR="00A37A25" w:rsidRPr="00A37A25" w:rsidRDefault="00A37A25" w:rsidP="00A37A25">
      <w:pPr>
        <w:pStyle w:val="Heading"/>
        <w:numPr>
          <w:ilvl w:val="0"/>
          <w:numId w:val="12"/>
        </w:numPr>
        <w:spacing w:before="0" w:after="0" w:line="240" w:lineRule="auto"/>
        <w:rPr>
          <w:b w:val="0"/>
          <w:sz w:val="24"/>
        </w:rPr>
      </w:pPr>
      <w:r w:rsidRPr="00A37A25">
        <w:rPr>
          <w:b w:val="0"/>
          <w:sz w:val="24"/>
        </w:rPr>
        <w:t>1.5%- 2% increase, based on full benefits eligible positions</w:t>
      </w:r>
      <w:r w:rsidR="004F27D5">
        <w:rPr>
          <w:b w:val="0"/>
          <w:sz w:val="24"/>
        </w:rPr>
        <w:t>.</w:t>
      </w:r>
    </w:p>
    <w:p w:rsidR="00A37A25" w:rsidRDefault="00A37A25" w:rsidP="00A37A25">
      <w:pPr>
        <w:pStyle w:val="Heading"/>
        <w:numPr>
          <w:ilvl w:val="0"/>
          <w:numId w:val="12"/>
        </w:numPr>
        <w:spacing w:before="0" w:after="0" w:line="240" w:lineRule="auto"/>
        <w:rPr>
          <w:b w:val="0"/>
          <w:sz w:val="24"/>
        </w:rPr>
      </w:pPr>
      <w:r w:rsidRPr="00A37A25">
        <w:rPr>
          <w:b w:val="0"/>
          <w:sz w:val="24"/>
        </w:rPr>
        <w:t xml:space="preserve">Multiyear planning should be cognizant of inflation and not losing ground. </w:t>
      </w:r>
    </w:p>
    <w:p w:rsidR="005C2C0C" w:rsidRDefault="00A37A25" w:rsidP="00A37A25">
      <w:pPr>
        <w:pStyle w:val="Heading"/>
        <w:numPr>
          <w:ilvl w:val="0"/>
          <w:numId w:val="12"/>
        </w:numPr>
        <w:spacing w:before="0" w:after="0" w:line="240" w:lineRule="auto"/>
        <w:rPr>
          <w:b w:val="0"/>
          <w:sz w:val="24"/>
        </w:rPr>
      </w:pPr>
      <w:r>
        <w:rPr>
          <w:b w:val="0"/>
          <w:sz w:val="24"/>
        </w:rPr>
        <w:t>Minimum wage</w:t>
      </w:r>
      <w:r w:rsidR="004F27D5">
        <w:rPr>
          <w:b w:val="0"/>
          <w:sz w:val="24"/>
        </w:rPr>
        <w:t xml:space="preserve"> increases as follows per Prop 206- </w:t>
      </w:r>
    </w:p>
    <w:p w:rsidR="005C2C0C" w:rsidRDefault="004F27D5" w:rsidP="005C2C0C">
      <w:pPr>
        <w:pStyle w:val="Heading"/>
        <w:numPr>
          <w:ilvl w:val="1"/>
          <w:numId w:val="12"/>
        </w:numPr>
        <w:spacing w:before="0" w:after="0" w:line="240" w:lineRule="auto"/>
        <w:rPr>
          <w:b w:val="0"/>
          <w:sz w:val="24"/>
        </w:rPr>
      </w:pPr>
      <w:r>
        <w:rPr>
          <w:b w:val="0"/>
          <w:sz w:val="24"/>
        </w:rPr>
        <w:t xml:space="preserve">Jan 2018- $10.50 per hour </w:t>
      </w:r>
    </w:p>
    <w:p w:rsidR="005C2C0C" w:rsidRDefault="004F27D5" w:rsidP="005C2C0C">
      <w:pPr>
        <w:pStyle w:val="Heading"/>
        <w:numPr>
          <w:ilvl w:val="1"/>
          <w:numId w:val="12"/>
        </w:numPr>
        <w:spacing w:before="0" w:after="0" w:line="240" w:lineRule="auto"/>
        <w:rPr>
          <w:b w:val="0"/>
          <w:sz w:val="24"/>
        </w:rPr>
      </w:pPr>
      <w:r>
        <w:rPr>
          <w:b w:val="0"/>
          <w:sz w:val="24"/>
        </w:rPr>
        <w:t>Jan 2019- $11 per hour</w:t>
      </w:r>
    </w:p>
    <w:p w:rsidR="00A37A25" w:rsidRPr="00A37A25" w:rsidRDefault="004F27D5" w:rsidP="005C2C0C">
      <w:pPr>
        <w:pStyle w:val="Heading"/>
        <w:numPr>
          <w:ilvl w:val="1"/>
          <w:numId w:val="12"/>
        </w:numPr>
        <w:spacing w:before="0" w:after="0" w:line="240" w:lineRule="auto"/>
        <w:rPr>
          <w:b w:val="0"/>
          <w:sz w:val="24"/>
        </w:rPr>
      </w:pPr>
      <w:r>
        <w:rPr>
          <w:b w:val="0"/>
          <w:sz w:val="24"/>
        </w:rPr>
        <w:t>Jan 2020- $12 per hour</w:t>
      </w:r>
    </w:p>
    <w:sectPr w:rsidR="00A37A25" w:rsidRPr="00A37A25" w:rsidSect="00821305">
      <w:footerReference w:type="default" r:id="rId8"/>
      <w:headerReference w:type="first" r:id="rId9"/>
      <w:footerReference w:type="firs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F32" w:rsidRDefault="002D5F32" w:rsidP="008E7445">
      <w:r>
        <w:separator/>
      </w:r>
    </w:p>
  </w:endnote>
  <w:endnote w:type="continuationSeparator" w:id="0">
    <w:p w:rsidR="002D5F32" w:rsidRDefault="002D5F32" w:rsidP="008E7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loSerifOT-Bold">
    <w:panose1 w:val="00000000000000000000"/>
    <w:charset w:val="00"/>
    <w:family w:val="modern"/>
    <w:notTrueType/>
    <w:pitch w:val="variable"/>
    <w:sig w:usb0="800000E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MiloSerifOT">
    <w:altName w:val="Centaur"/>
    <w:panose1 w:val="00000000000000000000"/>
    <w:charset w:val="00"/>
    <w:family w:val="modern"/>
    <w:notTrueType/>
    <w:pitch w:val="variable"/>
    <w:sig w:usb0="800000E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B4F" w:rsidRPr="00DD6B4F" w:rsidRDefault="00DD6B4F" w:rsidP="00DD6B4F">
    <w:pPr>
      <w:pStyle w:val="Footer"/>
      <w:jc w:val="center"/>
      <w:rPr>
        <w:color w:val="101939"/>
        <w:sz w:val="20"/>
      </w:rPr>
    </w:pPr>
    <w:r w:rsidRPr="00DD6B4F">
      <w:rPr>
        <w:noProof/>
        <w:color w:val="101939"/>
        <w:sz w:val="20"/>
      </w:rPr>
      <w:t xml:space="preserve">Page </w:t>
    </w:r>
    <w:r w:rsidRPr="00DD6B4F">
      <w:rPr>
        <w:noProof/>
        <w:color w:val="101939"/>
        <w:sz w:val="20"/>
      </w:rPr>
      <w:fldChar w:fldCharType="begin"/>
    </w:r>
    <w:r w:rsidRPr="00DD6B4F">
      <w:rPr>
        <w:noProof/>
        <w:color w:val="101939"/>
        <w:sz w:val="20"/>
      </w:rPr>
      <w:instrText xml:space="preserve"> PAGE  \* Arabic  \* MERGEFORMAT </w:instrText>
    </w:r>
    <w:r w:rsidRPr="00DD6B4F">
      <w:rPr>
        <w:noProof/>
        <w:color w:val="101939"/>
        <w:sz w:val="20"/>
      </w:rPr>
      <w:fldChar w:fldCharType="separate"/>
    </w:r>
    <w:r w:rsidR="006A5E96">
      <w:rPr>
        <w:noProof/>
        <w:color w:val="101939"/>
        <w:sz w:val="20"/>
      </w:rPr>
      <w:t>2</w:t>
    </w:r>
    <w:r w:rsidRPr="00DD6B4F">
      <w:rPr>
        <w:noProof/>
        <w:color w:val="101939"/>
        <w:sz w:val="20"/>
      </w:rPr>
      <w:fldChar w:fldCharType="end"/>
    </w:r>
    <w:r w:rsidRPr="00DD6B4F">
      <w:rPr>
        <w:noProof/>
        <w:color w:val="101939"/>
        <w:sz w:val="20"/>
      </w:rPr>
      <w:t xml:space="preserve"> of </w:t>
    </w:r>
    <w:r w:rsidRPr="00DD6B4F">
      <w:rPr>
        <w:noProof/>
        <w:color w:val="101939"/>
        <w:sz w:val="20"/>
      </w:rPr>
      <w:fldChar w:fldCharType="begin"/>
    </w:r>
    <w:r w:rsidRPr="00DD6B4F">
      <w:rPr>
        <w:noProof/>
        <w:color w:val="101939"/>
        <w:sz w:val="20"/>
      </w:rPr>
      <w:instrText xml:space="preserve"> NUMPAGES  \* Arabic  \* MERGEFORMAT </w:instrText>
    </w:r>
    <w:r w:rsidRPr="00DD6B4F">
      <w:rPr>
        <w:noProof/>
        <w:color w:val="101939"/>
        <w:sz w:val="20"/>
      </w:rPr>
      <w:fldChar w:fldCharType="separate"/>
    </w:r>
    <w:r w:rsidR="006A5E96">
      <w:rPr>
        <w:noProof/>
        <w:color w:val="101939"/>
        <w:sz w:val="20"/>
      </w:rPr>
      <w:t>1</w:t>
    </w:r>
    <w:r w:rsidRPr="00DD6B4F">
      <w:rPr>
        <w:noProof/>
        <w:color w:val="101939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ABF" w:rsidRDefault="00035ABF" w:rsidP="004936B5">
    <w:pPr>
      <w:pStyle w:val="Footer"/>
      <w:jc w:val="center"/>
      <w:rPr>
        <w:noProof/>
        <w:color w:val="101939"/>
        <w:sz w:val="20"/>
      </w:rPr>
    </w:pPr>
  </w:p>
  <w:p w:rsidR="00035ABF" w:rsidRDefault="00035ABF" w:rsidP="004936B5">
    <w:pPr>
      <w:pStyle w:val="Footer"/>
      <w:jc w:val="center"/>
      <w:rPr>
        <w:noProof/>
        <w:color w:val="101939"/>
        <w:sz w:val="20"/>
      </w:rPr>
    </w:pPr>
  </w:p>
  <w:p w:rsidR="00035ABF" w:rsidRDefault="00035ABF" w:rsidP="004936B5">
    <w:pPr>
      <w:pStyle w:val="Footer"/>
      <w:jc w:val="center"/>
      <w:rPr>
        <w:noProof/>
        <w:color w:val="101939"/>
        <w:sz w:val="20"/>
      </w:rPr>
    </w:pPr>
  </w:p>
  <w:p w:rsidR="00035ABF" w:rsidRDefault="00035ABF" w:rsidP="004936B5">
    <w:pPr>
      <w:pStyle w:val="Footer"/>
      <w:jc w:val="center"/>
      <w:rPr>
        <w:noProof/>
        <w:color w:val="101939"/>
        <w:sz w:val="20"/>
      </w:rPr>
    </w:pPr>
  </w:p>
  <w:p w:rsidR="00035ABF" w:rsidRDefault="00035ABF" w:rsidP="004936B5">
    <w:pPr>
      <w:pStyle w:val="Footer"/>
      <w:jc w:val="center"/>
      <w:rPr>
        <w:noProof/>
        <w:color w:val="101939"/>
        <w:sz w:val="20"/>
      </w:rPr>
    </w:pPr>
  </w:p>
  <w:p w:rsidR="00035ABF" w:rsidRDefault="00035ABF" w:rsidP="004936B5">
    <w:pPr>
      <w:pStyle w:val="Footer"/>
      <w:jc w:val="center"/>
      <w:rPr>
        <w:noProof/>
        <w:color w:val="101939"/>
        <w:sz w:val="20"/>
      </w:rPr>
    </w:pPr>
  </w:p>
  <w:p w:rsidR="00035ABF" w:rsidRDefault="00035ABF" w:rsidP="004936B5">
    <w:pPr>
      <w:pStyle w:val="Footer"/>
      <w:jc w:val="center"/>
      <w:rPr>
        <w:noProof/>
        <w:color w:val="101939"/>
        <w:sz w:val="20"/>
      </w:rPr>
    </w:pPr>
  </w:p>
  <w:p w:rsidR="004F7687" w:rsidRPr="00DD6B4F" w:rsidRDefault="004936B5" w:rsidP="004936B5">
    <w:pPr>
      <w:pStyle w:val="Footer"/>
      <w:jc w:val="center"/>
      <w:rPr>
        <w:color w:val="101939"/>
        <w:sz w:val="20"/>
      </w:rPr>
    </w:pPr>
    <w:r w:rsidRPr="00DD6B4F">
      <w:rPr>
        <w:noProof/>
        <w:color w:val="101939"/>
        <w:sz w:val="20"/>
      </w:rPr>
      <w:t xml:space="preserve">Page </w:t>
    </w:r>
    <w:r w:rsidRPr="00DD6B4F">
      <w:rPr>
        <w:noProof/>
        <w:color w:val="101939"/>
        <w:sz w:val="20"/>
      </w:rPr>
      <w:fldChar w:fldCharType="begin"/>
    </w:r>
    <w:r w:rsidRPr="00DD6B4F">
      <w:rPr>
        <w:noProof/>
        <w:color w:val="101939"/>
        <w:sz w:val="20"/>
      </w:rPr>
      <w:instrText xml:space="preserve"> PAGE  \* Arabic  \* MERGEFORMAT </w:instrText>
    </w:r>
    <w:r w:rsidRPr="00DD6B4F">
      <w:rPr>
        <w:noProof/>
        <w:color w:val="101939"/>
        <w:sz w:val="20"/>
      </w:rPr>
      <w:fldChar w:fldCharType="separate"/>
    </w:r>
    <w:r w:rsidR="006B495D">
      <w:rPr>
        <w:noProof/>
        <w:color w:val="101939"/>
        <w:sz w:val="20"/>
      </w:rPr>
      <w:t>1</w:t>
    </w:r>
    <w:r w:rsidRPr="00DD6B4F">
      <w:rPr>
        <w:noProof/>
        <w:color w:val="101939"/>
        <w:sz w:val="20"/>
      </w:rPr>
      <w:fldChar w:fldCharType="end"/>
    </w:r>
    <w:r w:rsidRPr="00DD6B4F">
      <w:rPr>
        <w:noProof/>
        <w:color w:val="101939"/>
        <w:sz w:val="20"/>
      </w:rPr>
      <w:t xml:space="preserve"> of </w:t>
    </w:r>
    <w:r w:rsidRPr="00DD6B4F">
      <w:rPr>
        <w:noProof/>
        <w:color w:val="101939"/>
        <w:sz w:val="20"/>
      </w:rPr>
      <w:fldChar w:fldCharType="begin"/>
    </w:r>
    <w:r w:rsidRPr="00DD6B4F">
      <w:rPr>
        <w:noProof/>
        <w:color w:val="101939"/>
        <w:sz w:val="20"/>
      </w:rPr>
      <w:instrText xml:space="preserve"> NUMPAGES  \* Arabic  \* MERGEFORMAT </w:instrText>
    </w:r>
    <w:r w:rsidRPr="00DD6B4F">
      <w:rPr>
        <w:noProof/>
        <w:color w:val="101939"/>
        <w:sz w:val="20"/>
      </w:rPr>
      <w:fldChar w:fldCharType="separate"/>
    </w:r>
    <w:r w:rsidR="006B495D">
      <w:rPr>
        <w:noProof/>
        <w:color w:val="101939"/>
        <w:sz w:val="20"/>
      </w:rPr>
      <w:t>1</w:t>
    </w:r>
    <w:r w:rsidRPr="00DD6B4F">
      <w:rPr>
        <w:noProof/>
        <w:color w:val="101939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F32" w:rsidRDefault="002D5F32" w:rsidP="008E7445">
      <w:r>
        <w:separator/>
      </w:r>
    </w:p>
  </w:footnote>
  <w:footnote w:type="continuationSeparator" w:id="0">
    <w:p w:rsidR="002D5F32" w:rsidRDefault="002D5F32" w:rsidP="008E7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1B7" w:rsidRDefault="005F61B7" w:rsidP="005F61B7">
    <w:pPr>
      <w:pStyle w:val="DepartmentHeadline"/>
    </w:pPr>
  </w:p>
  <w:p w:rsidR="005F61B7" w:rsidRDefault="005F61B7" w:rsidP="005F61B7">
    <w:pPr>
      <w:pStyle w:val="DepartmentHeadline"/>
    </w:pPr>
  </w:p>
  <w:p w:rsidR="005F61B7" w:rsidRDefault="005F61B7" w:rsidP="005F61B7">
    <w:pPr>
      <w:pStyle w:val="DepartmentHeadline"/>
    </w:pPr>
  </w:p>
  <w:p w:rsidR="005F61B7" w:rsidRDefault="005F61B7" w:rsidP="005F61B7">
    <w:pPr>
      <w:pStyle w:val="DepartmentHeadline"/>
    </w:pPr>
  </w:p>
  <w:p w:rsidR="005F61B7" w:rsidRDefault="005F61B7" w:rsidP="005F61B7">
    <w:pPr>
      <w:pStyle w:val="DepartmentHeadline"/>
    </w:pPr>
  </w:p>
  <w:p w:rsidR="005F61B7" w:rsidRDefault="005F61B7" w:rsidP="005F61B7">
    <w:pPr>
      <w:pStyle w:val="DepartmentHeadline"/>
    </w:pPr>
  </w:p>
  <w:p w:rsidR="000340DA" w:rsidRPr="008C0A53" w:rsidRDefault="00DF0C86" w:rsidP="005F61B7">
    <w:pPr>
      <w:pStyle w:val="DeptURL"/>
    </w:pPr>
    <w:r>
      <w:rPr>
        <w:noProof/>
      </w:rPr>
      <w:drawing>
        <wp:anchor distT="0" distB="0" distL="114300" distR="114300" simplePos="0" relativeHeight="251657216" behindDoc="1" locked="1" layoutInCell="1" allowOverlap="1" wp14:anchorId="7FC1FB81" wp14:editId="69A35607">
          <wp:simplePos x="0" y="0"/>
          <wp:positionH relativeFrom="page">
            <wp:align>right</wp:align>
          </wp:positionH>
          <wp:positionV relativeFrom="page">
            <wp:posOffset>-457200</wp:posOffset>
          </wp:positionV>
          <wp:extent cx="7772400" cy="10582275"/>
          <wp:effectExtent l="0" t="0" r="0" b="9525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LA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5822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71B4E"/>
    <w:multiLevelType w:val="hybridMultilevel"/>
    <w:tmpl w:val="7370F634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88C39B9"/>
    <w:multiLevelType w:val="hybridMultilevel"/>
    <w:tmpl w:val="6E681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961BD"/>
    <w:multiLevelType w:val="hybridMultilevel"/>
    <w:tmpl w:val="F2F89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96D79"/>
    <w:multiLevelType w:val="hybridMultilevel"/>
    <w:tmpl w:val="FB28C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E3BAE"/>
    <w:multiLevelType w:val="hybridMultilevel"/>
    <w:tmpl w:val="B04CCEFC"/>
    <w:lvl w:ilvl="0" w:tplc="059451A4">
      <w:start w:val="1"/>
      <w:numFmt w:val="bullet"/>
      <w:lvlText w:val=""/>
      <w:lvlJc w:val="left"/>
      <w:pPr>
        <w:ind w:left="780" w:hanging="360"/>
      </w:pPr>
      <w:rPr>
        <w:rFonts w:ascii="Symbol" w:hAnsi="Symbol" w:hint="default"/>
        <w:color w:val="7F7F7F" w:themeColor="text1" w:themeTint="80"/>
      </w:rPr>
    </w:lvl>
    <w:lvl w:ilvl="1" w:tplc="059451A4">
      <w:start w:val="1"/>
      <w:numFmt w:val="bullet"/>
      <w:lvlText w:val=""/>
      <w:lvlJc w:val="left"/>
      <w:pPr>
        <w:ind w:left="1500" w:hanging="360"/>
      </w:pPr>
      <w:rPr>
        <w:rFonts w:ascii="Symbol" w:hAnsi="Symbol" w:hint="default"/>
        <w:color w:val="7F7F7F" w:themeColor="text1" w:themeTint="80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82D2F13"/>
    <w:multiLevelType w:val="hybridMultilevel"/>
    <w:tmpl w:val="FB28C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F43FF"/>
    <w:multiLevelType w:val="hybridMultilevel"/>
    <w:tmpl w:val="85126FC8"/>
    <w:lvl w:ilvl="0" w:tplc="059451A4">
      <w:start w:val="1"/>
      <w:numFmt w:val="bullet"/>
      <w:lvlText w:val="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15164"/>
    <w:multiLevelType w:val="hybridMultilevel"/>
    <w:tmpl w:val="6FB6014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60262AA"/>
    <w:multiLevelType w:val="hybridMultilevel"/>
    <w:tmpl w:val="9EC2FFC6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588000B0"/>
    <w:multiLevelType w:val="hybridMultilevel"/>
    <w:tmpl w:val="1110E500"/>
    <w:lvl w:ilvl="0" w:tplc="059451A4">
      <w:start w:val="1"/>
      <w:numFmt w:val="bullet"/>
      <w:lvlText w:val=""/>
      <w:lvlJc w:val="left"/>
      <w:pPr>
        <w:ind w:left="360" w:hanging="360"/>
      </w:pPr>
      <w:rPr>
        <w:rFonts w:ascii="Symbol" w:hAnsi="Symbol" w:hint="default"/>
        <w:color w:val="7F7F7F" w:themeColor="text1" w:themeTint="8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FB5547"/>
    <w:multiLevelType w:val="hybridMultilevel"/>
    <w:tmpl w:val="8806B3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7DA747F0"/>
    <w:multiLevelType w:val="hybridMultilevel"/>
    <w:tmpl w:val="1886253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0"/>
  </w:num>
  <w:num w:numId="5">
    <w:abstractNumId w:val="4"/>
  </w:num>
  <w:num w:numId="6">
    <w:abstractNumId w:val="11"/>
  </w:num>
  <w:num w:numId="7">
    <w:abstractNumId w:val="9"/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C59"/>
    <w:rsid w:val="0000656C"/>
    <w:rsid w:val="000108AC"/>
    <w:rsid w:val="00026A69"/>
    <w:rsid w:val="00033D20"/>
    <w:rsid w:val="000340DA"/>
    <w:rsid w:val="00035ABF"/>
    <w:rsid w:val="00061705"/>
    <w:rsid w:val="00083BDB"/>
    <w:rsid w:val="00083C47"/>
    <w:rsid w:val="000A1F6D"/>
    <w:rsid w:val="000E77B3"/>
    <w:rsid w:val="001017A0"/>
    <w:rsid w:val="00122339"/>
    <w:rsid w:val="00152DE9"/>
    <w:rsid w:val="00277CCB"/>
    <w:rsid w:val="00277DC5"/>
    <w:rsid w:val="002B0177"/>
    <w:rsid w:val="002B2241"/>
    <w:rsid w:val="002C0BCB"/>
    <w:rsid w:val="002D36B4"/>
    <w:rsid w:val="002D5F32"/>
    <w:rsid w:val="002E2E6B"/>
    <w:rsid w:val="002F1EDA"/>
    <w:rsid w:val="00300B19"/>
    <w:rsid w:val="0030417F"/>
    <w:rsid w:val="0031360B"/>
    <w:rsid w:val="0031623A"/>
    <w:rsid w:val="003360EA"/>
    <w:rsid w:val="00345E32"/>
    <w:rsid w:val="00356DF5"/>
    <w:rsid w:val="003A1A33"/>
    <w:rsid w:val="003A5B2A"/>
    <w:rsid w:val="003D7E9E"/>
    <w:rsid w:val="00401F75"/>
    <w:rsid w:val="0040328C"/>
    <w:rsid w:val="004402C1"/>
    <w:rsid w:val="0046369D"/>
    <w:rsid w:val="004936B5"/>
    <w:rsid w:val="004A440C"/>
    <w:rsid w:val="004B62AB"/>
    <w:rsid w:val="004D1699"/>
    <w:rsid w:val="004F27D5"/>
    <w:rsid w:val="004F7687"/>
    <w:rsid w:val="0053732B"/>
    <w:rsid w:val="005466AB"/>
    <w:rsid w:val="00562EAB"/>
    <w:rsid w:val="00574B6A"/>
    <w:rsid w:val="005764A7"/>
    <w:rsid w:val="005B6B59"/>
    <w:rsid w:val="005C2C0C"/>
    <w:rsid w:val="005C584A"/>
    <w:rsid w:val="005C58A7"/>
    <w:rsid w:val="005D2E55"/>
    <w:rsid w:val="005E685D"/>
    <w:rsid w:val="005F61B7"/>
    <w:rsid w:val="005F66A4"/>
    <w:rsid w:val="0069140E"/>
    <w:rsid w:val="006A27F4"/>
    <w:rsid w:val="006A5E96"/>
    <w:rsid w:val="006B495D"/>
    <w:rsid w:val="006F56FF"/>
    <w:rsid w:val="00821305"/>
    <w:rsid w:val="008551E0"/>
    <w:rsid w:val="0085781F"/>
    <w:rsid w:val="00864D26"/>
    <w:rsid w:val="0088132B"/>
    <w:rsid w:val="008C0A53"/>
    <w:rsid w:val="008D6BB9"/>
    <w:rsid w:val="008E7445"/>
    <w:rsid w:val="008F109C"/>
    <w:rsid w:val="00932C7A"/>
    <w:rsid w:val="00935F17"/>
    <w:rsid w:val="009667F7"/>
    <w:rsid w:val="00A1309D"/>
    <w:rsid w:val="00A22E89"/>
    <w:rsid w:val="00A37A25"/>
    <w:rsid w:val="00A453DE"/>
    <w:rsid w:val="00AE33F3"/>
    <w:rsid w:val="00AF46FB"/>
    <w:rsid w:val="00B07A72"/>
    <w:rsid w:val="00B3476D"/>
    <w:rsid w:val="00B644FE"/>
    <w:rsid w:val="00BA1907"/>
    <w:rsid w:val="00BB0213"/>
    <w:rsid w:val="00BB44FD"/>
    <w:rsid w:val="00BC23D1"/>
    <w:rsid w:val="00BD0130"/>
    <w:rsid w:val="00BE0906"/>
    <w:rsid w:val="00C11C74"/>
    <w:rsid w:val="00C341A4"/>
    <w:rsid w:val="00C36DCF"/>
    <w:rsid w:val="00C40C59"/>
    <w:rsid w:val="00C51C65"/>
    <w:rsid w:val="00C55DAD"/>
    <w:rsid w:val="00C6008C"/>
    <w:rsid w:val="00C65E5C"/>
    <w:rsid w:val="00CA1F02"/>
    <w:rsid w:val="00CE4992"/>
    <w:rsid w:val="00D211DD"/>
    <w:rsid w:val="00DB2020"/>
    <w:rsid w:val="00DD6B4F"/>
    <w:rsid w:val="00DF0C86"/>
    <w:rsid w:val="00DF2AB3"/>
    <w:rsid w:val="00DF4940"/>
    <w:rsid w:val="00DF4F44"/>
    <w:rsid w:val="00E12D5B"/>
    <w:rsid w:val="00E55E3E"/>
    <w:rsid w:val="00E80897"/>
    <w:rsid w:val="00E90082"/>
    <w:rsid w:val="00E94A9C"/>
    <w:rsid w:val="00EA298E"/>
    <w:rsid w:val="00EA3DC8"/>
    <w:rsid w:val="00EB4022"/>
    <w:rsid w:val="00F17378"/>
    <w:rsid w:val="00F203D7"/>
    <w:rsid w:val="00F40981"/>
    <w:rsid w:val="00F433BB"/>
    <w:rsid w:val="00F437ED"/>
    <w:rsid w:val="00F45005"/>
    <w:rsid w:val="00F64651"/>
    <w:rsid w:val="00F6539B"/>
    <w:rsid w:val="00FB3AE9"/>
    <w:rsid w:val="00FC6199"/>
    <w:rsid w:val="00FD1B53"/>
    <w:rsid w:val="00FF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CD9E20"/>
  <w14:defaultImageDpi w14:val="330"/>
  <w15:docId w15:val="{11D394CD-FF8A-4EA7-84FD-1F6904264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aliases w:val="DEPT. Name"/>
    <w:next w:val="Normal"/>
    <w:link w:val="Heading1Char"/>
    <w:uiPriority w:val="9"/>
    <w:rsid w:val="00562EAB"/>
    <w:pPr>
      <w:keepNext/>
      <w:keepLines/>
      <w:spacing w:before="480"/>
      <w:outlineLvl w:val="0"/>
    </w:pPr>
    <w:rPr>
      <w:rFonts w:ascii="MiloSerifOT-Bold" w:eastAsiaTheme="majorEastAsia" w:hAnsi="MiloSerifOT-Bold" w:cstheme="majorBidi"/>
      <w:bCs/>
      <w:color w:val="980D1B"/>
      <w:sz w:val="1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EPT. Name Char"/>
    <w:basedOn w:val="DefaultParagraphFont"/>
    <w:link w:val="Heading1"/>
    <w:uiPriority w:val="9"/>
    <w:rsid w:val="00562EAB"/>
    <w:rPr>
      <w:rFonts w:ascii="MiloSerifOT-Bold" w:eastAsiaTheme="majorEastAsia" w:hAnsi="MiloSerifOT-Bold" w:cstheme="majorBidi"/>
      <w:bCs/>
      <w:color w:val="980D1B"/>
      <w:sz w:val="18"/>
      <w:szCs w:val="32"/>
    </w:rPr>
  </w:style>
  <w:style w:type="paragraph" w:styleId="TOCHeading">
    <w:name w:val="TOC Heading"/>
    <w:basedOn w:val="Heading1"/>
    <w:next w:val="Normal"/>
    <w:uiPriority w:val="39"/>
    <w:unhideWhenUsed/>
    <w:rsid w:val="00E80897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89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897"/>
    <w:rPr>
      <w:rFonts w:ascii="Lucida Grande" w:hAnsi="Lucida Grande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E80897"/>
    <w:pPr>
      <w:spacing w:before="120"/>
    </w:pPr>
    <w:rPr>
      <w:b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E80897"/>
    <w:pPr>
      <w:ind w:left="240"/>
    </w:pPr>
    <w:rPr>
      <w:i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E80897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E80897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E80897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E80897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E80897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E80897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E80897"/>
    <w:pPr>
      <w:ind w:left="1920"/>
    </w:pPr>
    <w:rPr>
      <w:sz w:val="20"/>
      <w:szCs w:val="20"/>
    </w:rPr>
  </w:style>
  <w:style w:type="paragraph" w:styleId="Subtitle">
    <w:name w:val="Subtitle"/>
    <w:aliases w:val="Dept Name"/>
    <w:basedOn w:val="Normal"/>
    <w:link w:val="SubtitleChar"/>
    <w:rsid w:val="00C6008C"/>
    <w:pPr>
      <w:numPr>
        <w:ilvl w:val="1"/>
      </w:numPr>
    </w:pPr>
    <w:rPr>
      <w:rFonts w:ascii="MiloSerifOT-Bold" w:eastAsiaTheme="majorEastAsia" w:hAnsi="MiloSerifOT-Bold" w:cs="Rockwell"/>
      <w:bCs/>
      <w:caps/>
      <w:color w:val="980D1B"/>
      <w:sz w:val="18"/>
      <w:szCs w:val="192"/>
      <w14:textFill>
        <w14:solidFill>
          <w14:srgbClr w14:val="980D1B">
            <w14:alpha w14:val="85000"/>
          </w14:srgbClr>
        </w14:solidFill>
      </w14:textFill>
      <w14:props3d w14:extrusionH="0" w14:contourW="0" w14:prstMaterial="none">
        <w14:contourClr>
          <w14:schemeClr w14:val="bg1"/>
        </w14:contourClr>
      </w14:props3d>
    </w:rPr>
  </w:style>
  <w:style w:type="character" w:customStyle="1" w:styleId="SubtitleChar">
    <w:name w:val="Subtitle Char"/>
    <w:aliases w:val="Dept Name Char"/>
    <w:basedOn w:val="DefaultParagraphFont"/>
    <w:link w:val="Subtitle"/>
    <w:rsid w:val="00C6008C"/>
    <w:rPr>
      <w:rFonts w:ascii="MiloSerifOT-Bold" w:eastAsiaTheme="majorEastAsia" w:hAnsi="MiloSerifOT-Bold" w:cs="Rockwell"/>
      <w:bCs/>
      <w:caps/>
      <w:color w:val="980D1B"/>
      <w:sz w:val="18"/>
      <w:szCs w:val="192"/>
      <w14:textFill>
        <w14:solidFill>
          <w14:srgbClr w14:val="980D1B">
            <w14:alpha w14:val="85000"/>
          </w14:srgbClr>
        </w14:solidFill>
      </w14:textFill>
      <w14:props3d w14:extrusionH="0" w14:contourW="0" w14:prstMaterial="none">
        <w14:contourClr>
          <w14:schemeClr w14:val="bg1"/>
        </w14:contourClr>
      </w14:props3d>
    </w:rPr>
  </w:style>
  <w:style w:type="paragraph" w:customStyle="1" w:styleId="DeptInfo">
    <w:name w:val="Dept Info"/>
    <w:basedOn w:val="Normal"/>
    <w:qFormat/>
    <w:rsid w:val="00061705"/>
    <w:pPr>
      <w:spacing w:after="120"/>
      <w:ind w:right="5760"/>
      <w:contextualSpacing/>
    </w:pPr>
    <w:rPr>
      <w:rFonts w:ascii="MiloSerifOT" w:hAnsi="MiloSerifOT"/>
      <w:color w:val="101939"/>
      <w:sz w:val="18"/>
      <w:szCs w:val="16"/>
    </w:rPr>
  </w:style>
  <w:style w:type="paragraph" w:customStyle="1" w:styleId="DepartmentHeadline">
    <w:name w:val="Department Headline"/>
    <w:qFormat/>
    <w:rsid w:val="00061705"/>
    <w:pPr>
      <w:spacing w:after="160"/>
      <w:ind w:right="4680"/>
      <w:contextualSpacing/>
    </w:pPr>
    <w:rPr>
      <w:rFonts w:ascii="MiloSerifOT" w:hAnsi="MiloSerifOT"/>
      <w:b/>
      <w:noProof/>
      <w:color w:val="980D1B"/>
      <w:sz w:val="20"/>
      <w:szCs w:val="18"/>
    </w:rPr>
  </w:style>
  <w:style w:type="paragraph" w:customStyle="1" w:styleId="DeptContact">
    <w:name w:val="Dept. Contact"/>
    <w:qFormat/>
    <w:rsid w:val="00061705"/>
    <w:pPr>
      <w:spacing w:after="160"/>
      <w:contextualSpacing/>
    </w:pPr>
    <w:rPr>
      <w:rFonts w:ascii="MiloSerifOT" w:hAnsi="MiloSerifOT"/>
      <w:color w:val="101939"/>
      <w:sz w:val="18"/>
      <w:szCs w:val="16"/>
    </w:rPr>
  </w:style>
  <w:style w:type="paragraph" w:customStyle="1" w:styleId="DeptURL">
    <w:name w:val="Dept. URL"/>
    <w:qFormat/>
    <w:rsid w:val="00061705"/>
    <w:pPr>
      <w:spacing w:after="480"/>
      <w:contextualSpacing/>
    </w:pPr>
    <w:rPr>
      <w:rFonts w:ascii="MiloSerifOT" w:hAnsi="MiloSerifOT"/>
      <w:b/>
      <w:color w:val="101939"/>
      <w:sz w:val="20"/>
      <w:szCs w:val="16"/>
    </w:rPr>
  </w:style>
  <w:style w:type="paragraph" w:styleId="Header">
    <w:name w:val="header"/>
    <w:basedOn w:val="Normal"/>
    <w:link w:val="HeaderChar"/>
    <w:uiPriority w:val="99"/>
    <w:unhideWhenUsed/>
    <w:rsid w:val="008E74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445"/>
  </w:style>
  <w:style w:type="paragraph" w:styleId="Footer">
    <w:name w:val="footer"/>
    <w:basedOn w:val="Normal"/>
    <w:link w:val="FooterChar"/>
    <w:uiPriority w:val="99"/>
    <w:unhideWhenUsed/>
    <w:rsid w:val="008E74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445"/>
  </w:style>
  <w:style w:type="paragraph" w:customStyle="1" w:styleId="TimesNewRomanParagraphStyle">
    <w:name w:val="Times New Roman Paragraph Style"/>
    <w:rsid w:val="0053732B"/>
    <w:pPr>
      <w:spacing w:before="40" w:after="100" w:afterAutospacing="1" w:line="360" w:lineRule="auto"/>
    </w:pPr>
    <w:rPr>
      <w:rFonts w:ascii="Times New Roman" w:hAnsi="Times New Roman"/>
      <w:sz w:val="20"/>
      <w:szCs w:val="20"/>
    </w:rPr>
  </w:style>
  <w:style w:type="paragraph" w:customStyle="1" w:styleId="Body">
    <w:name w:val="Body"/>
    <w:link w:val="BodyChar"/>
    <w:qFormat/>
    <w:rsid w:val="00F64651"/>
    <w:pPr>
      <w:spacing w:after="120" w:line="312" w:lineRule="auto"/>
    </w:pPr>
    <w:rPr>
      <w:rFonts w:ascii="Cambria" w:hAnsi="Cambria" w:cs="Times New Roman"/>
      <w:sz w:val="22"/>
    </w:rPr>
  </w:style>
  <w:style w:type="character" w:styleId="Hyperlink">
    <w:name w:val="Hyperlink"/>
    <w:basedOn w:val="DefaultParagraphFont"/>
    <w:uiPriority w:val="99"/>
    <w:unhideWhenUsed/>
    <w:rsid w:val="004B62AB"/>
    <w:rPr>
      <w:color w:val="0000FF" w:themeColor="hyperlink"/>
      <w:u w:val="single"/>
    </w:rPr>
  </w:style>
  <w:style w:type="paragraph" w:customStyle="1" w:styleId="ParagraphCopyTNR">
    <w:name w:val="Paragraph Copy TNR"/>
    <w:qFormat/>
    <w:rsid w:val="004B62AB"/>
    <w:pPr>
      <w:spacing w:before="40" w:after="100" w:afterAutospacing="1" w:line="360" w:lineRule="auto"/>
    </w:pPr>
    <w:rPr>
      <w:rFonts w:ascii="Times New Roman" w:hAnsi="Times New Roman"/>
      <w:sz w:val="20"/>
    </w:rPr>
  </w:style>
  <w:style w:type="paragraph" w:customStyle="1" w:styleId="LetterTitle">
    <w:name w:val="Letter Title"/>
    <w:link w:val="LetterTitleChar"/>
    <w:qFormat/>
    <w:rsid w:val="00061705"/>
    <w:pPr>
      <w:spacing w:after="240"/>
    </w:pPr>
    <w:rPr>
      <w:rFonts w:cs="Times New Roman"/>
      <w:b/>
      <w:color w:val="101939"/>
      <w:spacing w:val="20"/>
      <w:sz w:val="36"/>
      <w:szCs w:val="20"/>
    </w:rPr>
  </w:style>
  <w:style w:type="paragraph" w:customStyle="1" w:styleId="OpeningBlock">
    <w:name w:val="Opening Block"/>
    <w:basedOn w:val="Body"/>
    <w:link w:val="OpeningBlockChar"/>
    <w:qFormat/>
    <w:rsid w:val="00061705"/>
    <w:pPr>
      <w:spacing w:after="480"/>
      <w:contextualSpacing/>
    </w:pPr>
    <w:rPr>
      <w:sz w:val="24"/>
    </w:rPr>
  </w:style>
  <w:style w:type="character" w:customStyle="1" w:styleId="LetterTitleChar">
    <w:name w:val="Letter Title Char"/>
    <w:basedOn w:val="DefaultParagraphFont"/>
    <w:link w:val="LetterTitle"/>
    <w:rsid w:val="00061705"/>
    <w:rPr>
      <w:rFonts w:cs="Times New Roman"/>
      <w:b/>
      <w:color w:val="101939"/>
      <w:spacing w:val="20"/>
      <w:sz w:val="36"/>
      <w:szCs w:val="20"/>
    </w:rPr>
  </w:style>
  <w:style w:type="character" w:customStyle="1" w:styleId="BodyChar">
    <w:name w:val="Body Char"/>
    <w:basedOn w:val="DefaultParagraphFont"/>
    <w:link w:val="Body"/>
    <w:rsid w:val="00F64651"/>
    <w:rPr>
      <w:rFonts w:ascii="Cambria" w:hAnsi="Cambria" w:cs="Times New Roman"/>
      <w:sz w:val="22"/>
    </w:rPr>
  </w:style>
  <w:style w:type="character" w:customStyle="1" w:styleId="OpeningBlockChar">
    <w:name w:val="Opening Block Char"/>
    <w:basedOn w:val="BodyChar"/>
    <w:link w:val="OpeningBlock"/>
    <w:rsid w:val="00061705"/>
    <w:rPr>
      <w:rFonts w:ascii="Cambria" w:hAnsi="Cambria" w:cs="Times New Roman"/>
      <w:sz w:val="22"/>
    </w:rPr>
  </w:style>
  <w:style w:type="paragraph" w:customStyle="1" w:styleId="Heading">
    <w:name w:val="Heading"/>
    <w:basedOn w:val="Body"/>
    <w:link w:val="HeadingChar"/>
    <w:qFormat/>
    <w:rsid w:val="005D2E55"/>
    <w:pPr>
      <w:spacing w:before="240"/>
    </w:pPr>
    <w:rPr>
      <w:b/>
      <w:sz w:val="28"/>
    </w:rPr>
  </w:style>
  <w:style w:type="character" w:customStyle="1" w:styleId="HeadingChar">
    <w:name w:val="Heading Char"/>
    <w:basedOn w:val="BodyChar"/>
    <w:link w:val="Heading"/>
    <w:rsid w:val="005D2E55"/>
    <w:rPr>
      <w:rFonts w:ascii="Cambria" w:hAnsi="Cambria" w:cs="Times New Roman"/>
      <w:b/>
      <w:sz w:val="28"/>
    </w:rPr>
  </w:style>
  <w:style w:type="paragraph" w:customStyle="1" w:styleId="HeadingII">
    <w:name w:val="Heading II"/>
    <w:basedOn w:val="Heading"/>
    <w:link w:val="HeadingIIChar"/>
    <w:qFormat/>
    <w:rsid w:val="00F64651"/>
    <w:rPr>
      <w:color w:val="595959" w:themeColor="text1" w:themeTint="A6"/>
      <w:sz w:val="26"/>
      <w:szCs w:val="26"/>
    </w:rPr>
  </w:style>
  <w:style w:type="paragraph" w:customStyle="1" w:styleId="HeadingIII">
    <w:name w:val="Heading III"/>
    <w:basedOn w:val="HeadingII"/>
    <w:link w:val="HeadingIIIChar"/>
    <w:qFormat/>
    <w:rsid w:val="00F64651"/>
    <w:rPr>
      <w:b w:val="0"/>
    </w:rPr>
  </w:style>
  <w:style w:type="character" w:customStyle="1" w:styleId="HeadingIIChar">
    <w:name w:val="Heading II Char"/>
    <w:basedOn w:val="HeadingChar"/>
    <w:link w:val="HeadingII"/>
    <w:rsid w:val="00F64651"/>
    <w:rPr>
      <w:rFonts w:ascii="Cambria" w:hAnsi="Cambria" w:cs="Times New Roman"/>
      <w:b/>
      <w:color w:val="595959" w:themeColor="text1" w:themeTint="A6"/>
      <w:sz w:val="26"/>
      <w:szCs w:val="26"/>
    </w:rPr>
  </w:style>
  <w:style w:type="character" w:customStyle="1" w:styleId="HeadingIIIChar">
    <w:name w:val="Heading III Char"/>
    <w:basedOn w:val="HeadingIIChar"/>
    <w:link w:val="HeadingIII"/>
    <w:rsid w:val="00F64651"/>
    <w:rPr>
      <w:rFonts w:ascii="Cambria" w:hAnsi="Cambria" w:cs="Times New Roman"/>
      <w:b w:val="0"/>
      <w:color w:val="595959" w:themeColor="text1" w:themeTint="A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berrell\AppData\Local\Temp\e-letterhead_agriculture_tnr_foo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CF7E98-268D-4B85-8C38-B47985D99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e-letterhead_agriculture_tnr_footer.dotx</Template>
  <TotalTime>1750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Berrellez, Brian - (bberrell)</dc:creator>
  <cp:keywords/>
  <dc:description/>
  <cp:lastModifiedBy>Ketterling, Allison M - (allisonk)</cp:lastModifiedBy>
  <cp:revision>5</cp:revision>
  <cp:lastPrinted>2017-01-17T20:40:00Z</cp:lastPrinted>
  <dcterms:created xsi:type="dcterms:W3CDTF">2017-01-17T18:03:00Z</dcterms:created>
  <dcterms:modified xsi:type="dcterms:W3CDTF">2017-01-18T23:20:00Z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