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3FF" w:rsidRDefault="002953FF" w:rsidP="00356AE5">
      <w:pPr>
        <w:spacing w:after="0"/>
        <w:jc w:val="center"/>
        <w:rPr>
          <w:b/>
          <w:sz w:val="28"/>
        </w:rPr>
      </w:pPr>
      <w:smartTag w:uri="urn:schemas-microsoft-com:office:smarttags" w:element="place">
        <w:smartTag w:uri="urn:schemas-microsoft-com:office:smarttags" w:element="PlaceType">
          <w:r>
            <w:rPr>
              <w:b/>
              <w:sz w:val="28"/>
            </w:rPr>
            <w:t>University</w:t>
          </w:r>
        </w:smartTag>
        <w:r>
          <w:rPr>
            <w:b/>
            <w:sz w:val="28"/>
          </w:rPr>
          <w:t xml:space="preserve"> of </w:t>
        </w:r>
        <w:smartTag w:uri="urn:schemas-microsoft-com:office:smarttags" w:element="PlaceName">
          <w:r>
            <w:rPr>
              <w:b/>
              <w:sz w:val="28"/>
            </w:rPr>
            <w:t>Arizona</w:t>
          </w:r>
        </w:smartTag>
      </w:smartTag>
      <w:r>
        <w:rPr>
          <w:b/>
          <w:sz w:val="28"/>
        </w:rPr>
        <w:t xml:space="preserve"> Cooperative Extension Strategic Planning</w:t>
      </w:r>
      <w:r w:rsidRPr="00955ABE">
        <w:rPr>
          <w:b/>
          <w:sz w:val="28"/>
        </w:rPr>
        <w:t xml:space="preserve"> Initial Report</w:t>
      </w:r>
    </w:p>
    <w:p w:rsidR="002953FF" w:rsidRDefault="002953FF" w:rsidP="00356AE5">
      <w:pPr>
        <w:spacing w:after="0"/>
        <w:jc w:val="center"/>
        <w:rPr>
          <w:b/>
          <w:sz w:val="28"/>
        </w:rPr>
      </w:pPr>
      <w:r>
        <w:rPr>
          <w:b/>
          <w:sz w:val="28"/>
        </w:rPr>
        <w:t>Due to CALS Dean April 13, 2012</w:t>
      </w:r>
    </w:p>
    <w:p w:rsidR="002953FF" w:rsidRDefault="002953FF" w:rsidP="0093707A">
      <w:pPr>
        <w:spacing w:after="0"/>
        <w:rPr>
          <w:b/>
          <w:sz w:val="24"/>
        </w:rPr>
      </w:pPr>
    </w:p>
    <w:p w:rsidR="002953FF" w:rsidRPr="00356AE5" w:rsidRDefault="002953FF" w:rsidP="0093707A">
      <w:pPr>
        <w:spacing w:after="0"/>
        <w:rPr>
          <w:b/>
          <w:sz w:val="24"/>
        </w:rPr>
      </w:pPr>
      <w:r>
        <w:rPr>
          <w:b/>
          <w:sz w:val="24"/>
        </w:rPr>
        <w:t>School/Department/Other Unit</w:t>
      </w:r>
      <w:r w:rsidRPr="00356AE5">
        <w:rPr>
          <w:b/>
          <w:sz w:val="24"/>
        </w:rPr>
        <w:t xml:space="preserve">:   </w:t>
      </w:r>
      <w:r>
        <w:rPr>
          <w:b/>
          <w:sz w:val="24"/>
          <w:u w:val="single"/>
        </w:rPr>
        <w:t>Cooperative Extension</w:t>
      </w:r>
      <w:r w:rsidRPr="00356AE5">
        <w:rPr>
          <w:b/>
          <w:sz w:val="24"/>
        </w:rPr>
        <w:t xml:space="preserve">                                              </w:t>
      </w:r>
    </w:p>
    <w:p w:rsidR="002953FF" w:rsidRPr="00356AE5" w:rsidRDefault="002953FF" w:rsidP="00D33D56">
      <w:pPr>
        <w:spacing w:after="0"/>
      </w:pPr>
    </w:p>
    <w:p w:rsidR="002953FF" w:rsidRDefault="002953FF" w:rsidP="0093707A">
      <w:pPr>
        <w:pStyle w:val="ListParagraph"/>
        <w:numPr>
          <w:ilvl w:val="0"/>
          <w:numId w:val="5"/>
        </w:numPr>
        <w:spacing w:after="0"/>
      </w:pPr>
      <w:r>
        <w:t>Where is the Unit today? (Identify and use objective benchmarks.)</w:t>
      </w:r>
    </w:p>
    <w:p w:rsidR="002953FF" w:rsidRDefault="002953FF" w:rsidP="00F06E8F">
      <w:pPr>
        <w:pStyle w:val="ListParagraph"/>
        <w:spacing w:after="0"/>
      </w:pPr>
    </w:p>
    <w:p w:rsidR="002953FF" w:rsidRDefault="002953FF" w:rsidP="00263A48">
      <w:pPr>
        <w:widowControl w:val="0"/>
      </w:pPr>
      <w:r>
        <w:rPr>
          <w:i/>
        </w:rPr>
        <w:t xml:space="preserve">Origins. </w:t>
      </w:r>
      <w:smartTag w:uri="urn:schemas-microsoft-com:office:smarttags" w:element="PlaceType">
        <w:smartTag w:uri="urn:schemas-microsoft-com:office:smarttags" w:element="place">
          <w:r>
            <w:t>Land</w:t>
          </w:r>
        </w:smartTag>
        <w:r>
          <w:t xml:space="preserve"> </w:t>
        </w:r>
        <w:smartTag w:uri="urn:schemas-microsoft-com:office:smarttags" w:element="PlaceName">
          <w:r>
            <w:t>Grant</w:t>
          </w:r>
        </w:smartTag>
        <w:r>
          <w:t xml:space="preserve"> </w:t>
        </w:r>
        <w:smartTag w:uri="urn:schemas-microsoft-com:office:smarttags" w:element="PlaceName">
          <w:r>
            <w:t>Universities</w:t>
          </w:r>
        </w:smartTag>
      </w:smartTag>
      <w:r>
        <w:t xml:space="preserve"> were established through the Morrill Act of 1862 to make higher education in agriculture, mechanical (engineering), and military science more accessible for the general population. Land was donated by the </w:t>
      </w:r>
      <w:smartTag w:uri="urn:schemas-microsoft-com:office:smarttags" w:element="country-region">
        <w:smartTag w:uri="urn:schemas-microsoft-com:office:smarttags" w:element="place">
          <w:r>
            <w:t>US</w:t>
          </w:r>
        </w:smartTag>
      </w:smartTag>
      <w:r>
        <w:t xml:space="preserve"> government to each state to be used to help establish an endowment for this purpose. Following this act, the Hatch Act of 1887 founded Agricultural Experiment Stations. Seeing the need to transfer the knowledge generated by the Land Grant Universities and the Experiment Stations to agricultural producers, the Smith-Lever Act of 1914 established </w:t>
      </w:r>
      <w:r w:rsidRPr="009C2134">
        <w:t xml:space="preserve">Cooperative </w:t>
      </w:r>
      <w:r>
        <w:t>Extension. The act stated that “</w:t>
      </w:r>
      <w:r w:rsidRPr="009C2134">
        <w:rPr>
          <w:i/>
        </w:rPr>
        <w:t>agricultural extension work shall consist of the development of practical applications of research knowledge and giving of instruction and practical demonstrations of existing or improved practices or technologies in agriculture, home economics, and rural energy, and subjects relating thereto</w:t>
      </w:r>
      <w:r>
        <w:t>”</w:t>
      </w:r>
      <w:r w:rsidRPr="009C2134">
        <w:t xml:space="preserve"> t</w:t>
      </w:r>
      <w:r>
        <w:t>o people not attending the Land Grant University. Part of the reason for the competitive advantage of American agriculture can be attributed to the technical knowledge that has been provided to farmers and ranchers for approximately 100 years through Cooperative Extension</w:t>
      </w:r>
    </w:p>
    <w:p w:rsidR="002953FF" w:rsidRDefault="002953FF" w:rsidP="00263A48">
      <w:pPr>
        <w:widowControl w:val="0"/>
      </w:pPr>
      <w:r>
        <w:rPr>
          <w:i/>
        </w:rPr>
        <w:t xml:space="preserve">Our Purpose. </w:t>
      </w:r>
      <w:r>
        <w:t>Cooperative Extension Agents have been described as “change agents”. A prominent educator, Dr. Everett M. Rogers made the following observation in 1963, “</w:t>
      </w:r>
      <w:r w:rsidRPr="00224ADA">
        <w:rPr>
          <w:i/>
        </w:rPr>
        <w:t>Since its inception, the main purpose of the Cooperative Extension Service has been to change human behavior by teaching people how to apply the results of scientific research</w:t>
      </w:r>
      <w:r w:rsidRPr="00224ADA">
        <w:t>.</w:t>
      </w:r>
      <w:r>
        <w:t xml:space="preserve">” Our purpose and goal is to not only be information brokers, but more importantly to help transfer knowledge in such a way that it improves lives of people and benefits the natural environment in which we all live. We aim to assist in helping solve problems by identifying critical needs; finding or discovering appropriate research based information to help address those needs; developing educational programming or demonstrations to present our findings; and then to evaluate and assess our efforts for adequacy and re-plan accordingly. </w:t>
      </w:r>
    </w:p>
    <w:p w:rsidR="002953FF" w:rsidRDefault="002953FF" w:rsidP="00263A48">
      <w:pPr>
        <w:widowControl w:val="0"/>
      </w:pPr>
      <w:r>
        <w:t xml:space="preserve">Attempts in Arizona to better position Cooperative Extension have focused on dropping, starting, and spinning off programs (such as Moving to Higher Ground) and have not addressed how to better institute a vertically integrated, multi-disciplinary focused, problem solving approach to engagement. Statewide surveys have been poorly designed with low numbers with limited statistical validity. In 2006, counties were asked to distribute the survey to 10 clientele for each agent, most of whom were hand picked. Given the biased sampling which has often occurred, the results, while informative, may not completely represent the demographic population. A more informative and rewarding methodology for assessing needs in Extension could use such techniques as focus group sampling such as that used by Dr. Maria Fernandez-Gimenez (available in January 2005 </w:t>
      </w:r>
      <w:r>
        <w:rPr>
          <w:i/>
        </w:rPr>
        <w:t>Rangeland Ecology and Management</w:t>
      </w:r>
      <w:r>
        <w:t xml:space="preserve">). </w:t>
      </w:r>
    </w:p>
    <w:p w:rsidR="002953FF" w:rsidRDefault="002953FF" w:rsidP="00263A48">
      <w:pPr>
        <w:widowControl w:val="0"/>
      </w:pPr>
    </w:p>
    <w:p w:rsidR="002953FF" w:rsidRPr="00C723E2" w:rsidRDefault="002953FF" w:rsidP="00975150">
      <w:pPr>
        <w:widowControl w:val="0"/>
        <w:rPr>
          <w:b/>
          <w:i/>
        </w:rPr>
      </w:pPr>
      <w:r>
        <w:t xml:space="preserve">Our mission in Cooperative Extension requires that in order to be effective, we, by necessity, must be tied to the communities in which we work and we must help channel information in a bi-directional basis. In other words, information needs to flow both ways; from the U of A Campus and Experiment Station to the counties and from the counties to the Experiment Station and Campus. Each of the 15 counties in which we live and work have some commonalities but also some uniqueness as well. For example, </w:t>
      </w:r>
      <w:smartTag w:uri="urn:schemas-microsoft-com:office:smarttags" w:element="place">
        <w:smartTag w:uri="urn:schemas-microsoft-com:office:smarttags" w:element="PlaceName">
          <w:r>
            <w:t>Yuma</w:t>
          </w:r>
        </w:smartTag>
        <w:r>
          <w:t xml:space="preserve"> </w:t>
        </w:r>
        <w:smartTag w:uri="urn:schemas-microsoft-com:office:smarttags" w:element="PlaceType">
          <w:r>
            <w:t>County</w:t>
          </w:r>
        </w:smartTag>
      </w:smartTag>
      <w:r>
        <w:t xml:space="preserve"> is very prominent in produce, and this necessitates an active research and Extension education component to solve problems and increase efficiency for this large economic engine. Extension educators in </w:t>
      </w:r>
      <w:smartTag w:uri="urn:schemas-microsoft-com:office:smarttags" w:element="place">
        <w:smartTag w:uri="urn:schemas-microsoft-com:office:smarttags" w:element="City">
          <w:r>
            <w:t>Yuma</w:t>
          </w:r>
        </w:smartTag>
      </w:smartTag>
      <w:r>
        <w:t xml:space="preserve"> are helping lead efforts statewide, regionally, and nationally to address food safety for vegetable crops.  </w:t>
      </w:r>
      <w:smartTag w:uri="urn:schemas-microsoft-com:office:smarttags" w:element="place">
        <w:smartTag w:uri="urn:schemas-microsoft-com:office:smarttags" w:element="PlaceName">
          <w:r>
            <w:t>Gila</w:t>
          </w:r>
        </w:smartTag>
        <w:r>
          <w:t xml:space="preserve"> </w:t>
        </w:r>
        <w:smartTag w:uri="urn:schemas-microsoft-com:office:smarttags" w:element="PlaceType">
          <w:r>
            <w:t>County</w:t>
          </w:r>
        </w:smartTag>
      </w:smartTag>
      <w:r>
        <w:t xml:space="preserve"> has only 4% private ground, the rest being predominantly native rangelands and forests and Tribal lands. With the large component of public rangelands in </w:t>
      </w:r>
      <w:smartTag w:uri="urn:schemas-microsoft-com:office:smarttags" w:element="place">
        <w:smartTag w:uri="urn:schemas-microsoft-com:office:smarttags" w:element="PlaceName">
          <w:r>
            <w:t>Gila</w:t>
          </w:r>
        </w:smartTag>
        <w:r>
          <w:t xml:space="preserve"> </w:t>
        </w:r>
        <w:smartTag w:uri="urn:schemas-microsoft-com:office:smarttags" w:element="PlaceType">
          <w:r>
            <w:t>County</w:t>
          </w:r>
        </w:smartTag>
      </w:smartTag>
      <w:r>
        <w:t xml:space="preserve">, relationships between ranchers and agency employees in the late 1990’s and early 2000’s have been contentious in regards to rangeland management. With implementation of the Reading the Range monitoring program in 2001, published research (Fernandez-Gimenez et al., January 2005, </w:t>
      </w:r>
      <w:r>
        <w:rPr>
          <w:i/>
        </w:rPr>
        <w:t>Rangeland Ecology and Management</w:t>
      </w:r>
      <w:r>
        <w:t xml:space="preserve">) has shown that rancher-agency employee relationships have improved significantly in Gila County and in other counties of the state with an active range monitoring program. The recent financial crisis has brought home the lack of financial literacy among many consumers. The financial literacy educational program that was integrated into school systems in both Gila and Pinal counties has increased the ability of high school students to make informed financial decisions that they will need to make in the future. The three examples immediately above are only a sample of the many available throughout the state that illustrate the effectiveness of Arizona Cooperative Extension in meeting the benchmark: </w:t>
      </w:r>
      <w:r>
        <w:rPr>
          <w:b/>
          <w:i/>
        </w:rPr>
        <w:t xml:space="preserve">What has your unit done to help solve agricultural production or larger societal issues in </w:t>
      </w:r>
      <w:smartTag w:uri="urn:schemas-microsoft-com:office:smarttags" w:element="place">
        <w:smartTag w:uri="urn:schemas-microsoft-com:office:smarttags" w:element="State">
          <w:r>
            <w:rPr>
              <w:b/>
              <w:i/>
            </w:rPr>
            <w:t>Arizona</w:t>
          </w:r>
        </w:smartTag>
      </w:smartTag>
      <w:r>
        <w:rPr>
          <w:b/>
          <w:i/>
        </w:rPr>
        <w:t xml:space="preserve"> (provide specific impacts)? </w:t>
      </w:r>
      <w:r w:rsidRPr="00C723E2">
        <w:t>Excellence in Extension has been defined by the Extension Council on Organization and Policy as the attainment of knowledge, attitudes, skills, and aspirations that cause a shift in behavior and actual implementation of important principles taught (2007; http://www.joe.org/joe/2007february/tt1.php).</w:t>
      </w:r>
    </w:p>
    <w:p w:rsidR="002953FF" w:rsidRDefault="002953FF" w:rsidP="00263A48">
      <w:pPr>
        <w:widowControl w:val="0"/>
      </w:pPr>
      <w:r>
        <w:t>Although we are centered in the counties in which we work (and statewide for specialists), we could probably benefit from some focused efforts to link Campus, Experiment Stations, and the Counties with problem solving research and education. We have had some success with our working groups, but additional financial incentives (e.g. multidisciplinary grants) could be put in place on encourage a more unified statewide approach for problem solving.</w:t>
      </w:r>
    </w:p>
    <w:p w:rsidR="002953FF" w:rsidRDefault="002953FF" w:rsidP="00263A48">
      <w:pPr>
        <w:widowControl w:val="0"/>
      </w:pPr>
      <w:r>
        <w:t>Other benchmarks that can be used to evaluate our impact are related to the traditional publications and scholarly activity output common among universities such as publications, grants, contacts, volunteers, and FTE’s created. However, when we compare our efforts against other institutions, we should express those comparisons on a per capita basis since we have large counties and smaller Extension faculty numbers than many states.</w:t>
      </w:r>
    </w:p>
    <w:p w:rsidR="002953FF" w:rsidRDefault="002953FF" w:rsidP="0093707A">
      <w:pPr>
        <w:pStyle w:val="ListParagraph"/>
        <w:numPr>
          <w:ilvl w:val="0"/>
          <w:numId w:val="5"/>
        </w:numPr>
        <w:spacing w:after="0"/>
      </w:pPr>
      <w:r>
        <w:t>Where do we want to be in the future</w:t>
      </w:r>
      <w:r w:rsidRPr="00D33D56">
        <w:t xml:space="preserve"> </w:t>
      </w:r>
      <w:r>
        <w:t xml:space="preserve">so that </w:t>
      </w:r>
      <w:r w:rsidRPr="00A308CB">
        <w:t>we can differentiate ourselves from our competitors to give us a competitive advantage</w:t>
      </w:r>
      <w:r>
        <w:t>? (Includes specific values for the objective benchmarks selected in 1 and may include addition benchmarks)</w:t>
      </w:r>
    </w:p>
    <w:p w:rsidR="002953FF" w:rsidRDefault="002953FF" w:rsidP="00BC44E9">
      <w:pPr>
        <w:pStyle w:val="ListParagraph"/>
        <w:spacing w:after="0"/>
      </w:pPr>
    </w:p>
    <w:p w:rsidR="002953FF" w:rsidRDefault="002953FF" w:rsidP="00BC44E9">
      <w:pPr>
        <w:widowControl w:val="0"/>
      </w:pPr>
      <w:r>
        <w:t xml:space="preserve">How are Extension and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Arizona</w:t>
          </w:r>
        </w:smartTag>
      </w:smartTag>
      <w:r>
        <w:t xml:space="preserve"> perceived by both the informed and uninformed (as to knowledge of Cooperative Extension, AZ Experiment Station, and the University of Arizona College of Agriculture and Life Sciences)? How can we make it more relevant in the lives of the people of </w:t>
      </w:r>
      <w:smartTag w:uri="urn:schemas-microsoft-com:office:smarttags" w:element="State">
        <w:smartTag w:uri="urn:schemas-microsoft-com:office:smarttags" w:element="place">
          <w:r>
            <w:t>Arizona</w:t>
          </w:r>
        </w:smartTag>
      </w:smartTag>
      <w:r>
        <w:t xml:space="preserve">? I believe that we need more synergy of resources and an appreciation by clientele of CALS Extension Agents, Specialists, and Campus faculty as “problem solvers”. To accomplish this will require extensive partnering from County, Experiment Station, and Campus faculty to deliver cohesive and comprehensive educational programming and research to clientele. As we do this, our influence with policy and budgetary decision makers will expand. </w:t>
      </w:r>
    </w:p>
    <w:p w:rsidR="002953FF" w:rsidRDefault="002953FF" w:rsidP="00BC44E9">
      <w:pPr>
        <w:widowControl w:val="0"/>
      </w:pPr>
      <w:r>
        <w:t xml:space="preserve">The original model of the Land Grant University, the Experiment Station, and Cooperative Extension united in serving the people of the State is still relevant and valid. However, I fear that in the era of increasing specialization, we have strayed from this united approach. </w:t>
      </w:r>
    </w:p>
    <w:p w:rsidR="002953FF" w:rsidRDefault="002953FF" w:rsidP="00BC44E9">
      <w:pPr>
        <w:widowControl w:val="0"/>
      </w:pPr>
      <w:r>
        <w:t xml:space="preserve">Although counties in </w:t>
      </w:r>
      <w:smartTag w:uri="urn:schemas-microsoft-com:office:smarttags" w:element="place">
        <w:smartTag w:uri="urn:schemas-microsoft-com:office:smarttags" w:element="State">
          <w:r>
            <w:t>Arizona</w:t>
          </w:r>
        </w:smartTag>
      </w:smartTag>
      <w:r>
        <w:t xml:space="preserve"> have uniqueness, some commonalities exist that could benefit from focused statewide planning.  An inventory among each county for important programming could be compared across all counties within the state. For example, </w:t>
      </w:r>
      <w:smartTag w:uri="urn:schemas-microsoft-com:office:smarttags" w:element="place">
        <w:smartTag w:uri="urn:schemas-microsoft-com:office:smarttags" w:element="PlaceName">
          <w:r>
            <w:t>Gila</w:t>
          </w:r>
        </w:smartTag>
        <w:r>
          <w:t xml:space="preserve"> </w:t>
        </w:r>
        <w:smartTag w:uri="urn:schemas-microsoft-com:office:smarttags" w:element="PlaceType">
          <w:r>
            <w:t>County</w:t>
          </w:r>
        </w:smartTag>
      </w:smartTag>
      <w:r>
        <w:t xml:space="preserve"> has the following primary program focus areas (not in order of importance):</w:t>
      </w:r>
    </w:p>
    <w:p w:rsidR="002953FF" w:rsidRDefault="002953FF" w:rsidP="0016024D">
      <w:pPr>
        <w:widowControl w:val="0"/>
        <w:spacing w:line="240" w:lineRule="auto"/>
      </w:pPr>
      <w:r>
        <w:t>1.  Rangeland monitoring</w:t>
      </w:r>
    </w:p>
    <w:p w:rsidR="002953FF" w:rsidRDefault="002953FF" w:rsidP="0016024D">
      <w:pPr>
        <w:widowControl w:val="0"/>
        <w:spacing w:line="240" w:lineRule="auto"/>
      </w:pPr>
      <w:r>
        <w:t>2.  Youth Development (Preparation for life, citizenship, leadership, school enrichment, traditional programs, Ag Literacy, nutrition)</w:t>
      </w:r>
    </w:p>
    <w:p w:rsidR="002953FF" w:rsidRDefault="002953FF" w:rsidP="0016024D">
      <w:pPr>
        <w:widowControl w:val="0"/>
        <w:spacing w:line="240" w:lineRule="auto"/>
      </w:pPr>
      <w:r>
        <w:t>3. Firewise/Forest Health</w:t>
      </w:r>
    </w:p>
    <w:p w:rsidR="002953FF" w:rsidRDefault="002953FF" w:rsidP="0016024D">
      <w:pPr>
        <w:widowControl w:val="0"/>
        <w:spacing w:line="240" w:lineRule="auto"/>
      </w:pPr>
      <w:r>
        <w:t>4. Climate</w:t>
      </w:r>
    </w:p>
    <w:p w:rsidR="002953FF" w:rsidRDefault="002953FF" w:rsidP="0016024D">
      <w:pPr>
        <w:widowControl w:val="0"/>
        <w:spacing w:line="240" w:lineRule="auto"/>
      </w:pPr>
      <w:r>
        <w:t>5. Master Gardeners/Farmers Market</w:t>
      </w:r>
    </w:p>
    <w:p w:rsidR="002953FF" w:rsidRDefault="002953FF" w:rsidP="0016024D">
      <w:pPr>
        <w:widowControl w:val="0"/>
        <w:spacing w:line="240" w:lineRule="auto"/>
      </w:pPr>
      <w:r>
        <w:t>6. Livestock Production</w:t>
      </w:r>
    </w:p>
    <w:p w:rsidR="002953FF" w:rsidRDefault="002953FF" w:rsidP="00BC44E9">
      <w:pPr>
        <w:widowControl w:val="0"/>
      </w:pPr>
      <w:r>
        <w:t xml:space="preserve">Items 2 and 5 could be looked at on a statewide basis and opportunities to integrate some unified research and educational goals across the state could be applied.  Item 4 is already being approached as a statewide team with good integration of agents, specialists, and scientists. Items 1, 3, and 6 have had some coordinated planning across regions in the state that fit those specific demographics but could benefit further from statewide integration for the Experiment Station, Campus, and Counties. </w:t>
      </w:r>
    </w:p>
    <w:p w:rsidR="002953FF" w:rsidRDefault="002953FF" w:rsidP="00504563">
      <w:pPr>
        <w:widowControl w:val="0"/>
      </w:pPr>
      <w:r>
        <w:t>One thing that may want to be considered is for future agricultural agents or area agents to have a joint appointment with the Experiment Station with the expectation and opportunity to apply for a revolving pool of research grant or formula funds targeted to problem solving applied research and educational outcomes. Research and educational objectives identified by statewide planning as being of critical importance would receive priority for these cooperative grants.</w:t>
      </w:r>
    </w:p>
    <w:p w:rsidR="002953FF" w:rsidRDefault="002953FF" w:rsidP="0093707A">
      <w:pPr>
        <w:pStyle w:val="ListParagraph"/>
        <w:numPr>
          <w:ilvl w:val="0"/>
          <w:numId w:val="5"/>
        </w:numPr>
        <w:spacing w:after="0"/>
      </w:pPr>
      <w:r>
        <w:t>What should we be focused on today  to make it most likely that we will get where we want to go (</w:t>
      </w:r>
      <w:r w:rsidRPr="006121F6">
        <w:rPr>
          <w:u w:val="single"/>
        </w:rPr>
        <w:t>rank order</w:t>
      </w:r>
      <w:r>
        <w:t xml:space="preserve"> from most important to least; </w:t>
      </w:r>
      <w:r w:rsidRPr="006121F6">
        <w:rPr>
          <w:u w:val="single"/>
        </w:rPr>
        <w:t>annotate</w:t>
      </w:r>
      <w:r>
        <w:t xml:space="preserve"> as short term [1-2 years]; medium term [2-5 years]; long term [5-10 years])? Please use the following headings a-c and </w:t>
      </w:r>
      <w:r w:rsidRPr="00A006F4">
        <w:rPr>
          <w:b/>
        </w:rPr>
        <w:t>provide a justification</w:t>
      </w:r>
      <w:r>
        <w:t xml:space="preserve"> for why each thing is placed where it is.</w:t>
      </w:r>
    </w:p>
    <w:p w:rsidR="002953FF" w:rsidRDefault="002953FF" w:rsidP="0093707A">
      <w:pPr>
        <w:pStyle w:val="ListParagraph"/>
        <w:spacing w:after="0"/>
      </w:pPr>
    </w:p>
    <w:p w:rsidR="002953FF" w:rsidRDefault="002953FF" w:rsidP="0093707A">
      <w:pPr>
        <w:pStyle w:val="ListParagraph"/>
        <w:numPr>
          <w:ilvl w:val="0"/>
          <w:numId w:val="16"/>
        </w:numPr>
        <w:spacing w:after="0"/>
        <w:ind w:left="1080" w:firstLine="0"/>
      </w:pPr>
      <w:r>
        <w:t>Existing a</w:t>
      </w:r>
      <w:r w:rsidRPr="00C20A10">
        <w:t xml:space="preserve">reas to </w:t>
      </w:r>
      <w:r>
        <w:t xml:space="preserve">preserve, protect, or enhance.  </w:t>
      </w:r>
    </w:p>
    <w:p w:rsidR="002953FF" w:rsidRDefault="002953FF" w:rsidP="00504563">
      <w:pPr>
        <w:pStyle w:val="ListParagraph"/>
        <w:spacing w:after="0"/>
        <w:ind w:left="0"/>
      </w:pPr>
    </w:p>
    <w:p w:rsidR="002953FF" w:rsidRPr="00354FFD" w:rsidRDefault="002953FF" w:rsidP="00504563">
      <w:pPr>
        <w:pStyle w:val="ListParagraph"/>
        <w:spacing w:after="0"/>
        <w:ind w:left="0"/>
        <w:rPr>
          <w:b/>
        </w:rPr>
      </w:pPr>
      <w:r>
        <w:t xml:space="preserve">1. We must preserve staff in County offices in order to keep them open. We are mostly dependant on counties for operational dollars now. Funding from state funding has eroded to the point where most counties no longer have state funds available for travel and operations and staff positions are in jeopardy over the next two years. If we want to maintain a window to the University of Arizona and to continue funding from our county partners, we must keep our offices open. Extension agents travel too much in the execution of doing their job and are thus not a reliable source for keeping the offices open on a regular schedule. Some counties have shifted budgeting and finance responsibilities to Campus with appropriate funding. However, there is a limit to the number of counties that an on Campus associate could handle and it does limit the ability of counties to more nimbly respond to complicated grant funding issues. This needs to be explored further.  </w:t>
      </w:r>
      <w:r>
        <w:rPr>
          <w:b/>
        </w:rPr>
        <w:t>Long Term.</w:t>
      </w:r>
    </w:p>
    <w:p w:rsidR="002953FF" w:rsidRDefault="002953FF" w:rsidP="00504563">
      <w:pPr>
        <w:pStyle w:val="ListParagraph"/>
        <w:spacing w:after="0"/>
        <w:ind w:left="0"/>
      </w:pPr>
    </w:p>
    <w:p w:rsidR="002953FF" w:rsidRDefault="002953FF" w:rsidP="00504563">
      <w:pPr>
        <w:pStyle w:val="ListParagraph"/>
        <w:spacing w:after="0"/>
        <w:ind w:left="0"/>
      </w:pPr>
      <w:r>
        <w:t xml:space="preserve">2. We must maintain a 4-H/Youth Development presence in each county, either by agents or program coordinators. As large as our counties are, these employees would be largely ineffective if expected to do this across multiple counties. Youth and adult volunteers need to be able to access these resources on a timely basis. Plus, a well run 4-H/Youth Development program brings tremendous good will with County Supervisors. Conversely, complaints about a fractured 4-H/Youth Development program quickly comes to the attention of County Supervisors who provide significant funding to our offices. </w:t>
      </w:r>
      <w:r>
        <w:rPr>
          <w:b/>
        </w:rPr>
        <w:t>Long Term.</w:t>
      </w:r>
    </w:p>
    <w:p w:rsidR="002953FF" w:rsidRDefault="002953FF" w:rsidP="00504563">
      <w:pPr>
        <w:pStyle w:val="ListParagraph"/>
        <w:spacing w:after="0"/>
        <w:ind w:left="0"/>
      </w:pPr>
    </w:p>
    <w:p w:rsidR="002953FF" w:rsidRPr="00501AD1" w:rsidRDefault="002953FF" w:rsidP="00504563">
      <w:pPr>
        <w:pStyle w:val="ListParagraph"/>
        <w:spacing w:after="0"/>
        <w:ind w:left="0"/>
        <w:rPr>
          <w:b/>
        </w:rPr>
      </w:pPr>
      <w:r>
        <w:t>3. Some counties are not currently serviced by Family and Consumer Sciences Extension Agents and there are some grant funds to assist with programming in this area. For example, Gila County is ranked 15</w:t>
      </w:r>
      <w:r w:rsidRPr="00501AD1">
        <w:rPr>
          <w:vertAlign w:val="superscript"/>
        </w:rPr>
        <w:t>th</w:t>
      </w:r>
      <w:r>
        <w:t xml:space="preserve"> out of 15 counties for health of the county population. An Area FCS Agent who provided 20% of their FTE in Gila County could do a lot of good work and could tie into some grant initiatives being conducted by the town of Payson. We should probably maintain at least 7 to 8 agents or area agents in FCS. </w:t>
      </w:r>
      <w:r>
        <w:rPr>
          <w:b/>
        </w:rPr>
        <w:t>Medium Term/Long Term.</w:t>
      </w:r>
    </w:p>
    <w:p w:rsidR="002953FF" w:rsidRDefault="002953FF" w:rsidP="00504563">
      <w:pPr>
        <w:pStyle w:val="ListParagraph"/>
        <w:spacing w:after="0"/>
        <w:ind w:left="0"/>
      </w:pPr>
    </w:p>
    <w:p w:rsidR="002953FF" w:rsidRDefault="002953FF" w:rsidP="00AB7397">
      <w:pPr>
        <w:pStyle w:val="ListParagraph"/>
        <w:spacing w:after="0"/>
        <w:ind w:left="0"/>
        <w:rPr>
          <w:b/>
        </w:rPr>
      </w:pPr>
      <w:r>
        <w:t xml:space="preserve">4. We need to have at least 2 agents in Yuma County for field crops and agriculture. This is one more that we have but it could be justified with the large agricultural output from this region. We also need to  maintain additional field crops agents regionally in the state, probably in conjunction with the Experiment Stations. </w:t>
      </w:r>
      <w:r>
        <w:rPr>
          <w:b/>
        </w:rPr>
        <w:t>Long Term.</w:t>
      </w:r>
    </w:p>
    <w:p w:rsidR="002953FF" w:rsidRDefault="002953FF" w:rsidP="00AB7397">
      <w:pPr>
        <w:pStyle w:val="ListParagraph"/>
        <w:spacing w:after="0"/>
        <w:ind w:left="0"/>
      </w:pPr>
    </w:p>
    <w:p w:rsidR="002953FF" w:rsidRDefault="002953FF" w:rsidP="00504563">
      <w:pPr>
        <w:pStyle w:val="ListParagraph"/>
        <w:spacing w:after="0"/>
        <w:ind w:left="0"/>
        <w:rPr>
          <w:b/>
        </w:rPr>
      </w:pPr>
      <w:r>
        <w:t xml:space="preserve">5. We need to maintain at least 3 to 4 area agents for range/livestock in northern Arizona and 2 in southern Arizona. Currently, Coconino County, the largest county in the state with the most rangelands does not have an Extension appointment for livestock and range. It should be mentioned that for Area Extension Agents to be effective, funding for travel must be provided either by the State Extension office or by the counties involved. If funding for travel is removed to or by any county, we can not expect that county to receive services. It is anticipated that as funding shrinks for the immediate future, more area agents will need to be hired in agriculture and natural resources. </w:t>
      </w:r>
      <w:r>
        <w:rPr>
          <w:b/>
        </w:rPr>
        <w:t>Long Term.</w:t>
      </w:r>
    </w:p>
    <w:p w:rsidR="002953FF" w:rsidRPr="00E02278" w:rsidRDefault="002953FF" w:rsidP="00504563">
      <w:pPr>
        <w:pStyle w:val="ListParagraph"/>
        <w:spacing w:after="0"/>
        <w:ind w:left="0"/>
        <w:rPr>
          <w:b/>
        </w:rPr>
      </w:pPr>
    </w:p>
    <w:p w:rsidR="002953FF" w:rsidRPr="00AB7397" w:rsidRDefault="002953FF" w:rsidP="00504563">
      <w:pPr>
        <w:pStyle w:val="ListParagraph"/>
        <w:spacing w:after="0"/>
        <w:ind w:left="0"/>
        <w:rPr>
          <w:b/>
        </w:rPr>
      </w:pPr>
      <w:r>
        <w:t xml:space="preserve">6. Keep 2 Forest Health Specialists, at least one of whom would be in northern Arizona. </w:t>
      </w:r>
      <w:r>
        <w:rPr>
          <w:b/>
        </w:rPr>
        <w:t>Long Term.</w:t>
      </w:r>
    </w:p>
    <w:p w:rsidR="002953FF" w:rsidRDefault="002953FF" w:rsidP="00504563">
      <w:pPr>
        <w:pStyle w:val="ListParagraph"/>
        <w:spacing w:after="0"/>
        <w:ind w:left="0"/>
        <w:rPr>
          <w:b/>
        </w:rPr>
      </w:pPr>
      <w:r>
        <w:t xml:space="preserve">7. If we are truly going to have an effective core of Extension Specialists that are either Campus or Experiment Station based and if we truly want them to coordinate and help lead statewide programming and research efforts, then they need travel funding (at least $5,000 per year). The travel funding needs to be housed in Extension Administration and not in the departments in order to protect it. Department heads need to be made aware of the travel expectations of Extension Specialists and their need to coordinate with Area and County Agents throughout the state. </w:t>
      </w:r>
      <w:r>
        <w:rPr>
          <w:b/>
        </w:rPr>
        <w:t>Long Term.</w:t>
      </w:r>
    </w:p>
    <w:p w:rsidR="002953FF" w:rsidRDefault="002953FF" w:rsidP="00504563">
      <w:pPr>
        <w:pStyle w:val="ListParagraph"/>
        <w:spacing w:after="0"/>
        <w:ind w:left="0"/>
        <w:rPr>
          <w:b/>
        </w:rPr>
      </w:pPr>
    </w:p>
    <w:p w:rsidR="002953FF" w:rsidRDefault="002953FF" w:rsidP="00504563">
      <w:pPr>
        <w:pStyle w:val="ListParagraph"/>
        <w:spacing w:after="0"/>
        <w:ind w:left="0"/>
      </w:pPr>
      <w:r>
        <w:t xml:space="preserve">8. Maintain Turf research and Area Turf Specialist positions. </w:t>
      </w:r>
      <w:r>
        <w:rPr>
          <w:b/>
        </w:rPr>
        <w:t>Long Term.</w:t>
      </w:r>
    </w:p>
    <w:p w:rsidR="002953FF" w:rsidRDefault="002953FF" w:rsidP="00504563">
      <w:pPr>
        <w:pStyle w:val="ListParagraph"/>
        <w:spacing w:after="0"/>
        <w:ind w:left="0"/>
      </w:pPr>
    </w:p>
    <w:p w:rsidR="002953FF" w:rsidRDefault="002953FF" w:rsidP="00504563">
      <w:pPr>
        <w:pStyle w:val="ListParagraph"/>
        <w:spacing w:after="0"/>
        <w:ind w:left="0"/>
        <w:rPr>
          <w:b/>
        </w:rPr>
      </w:pPr>
      <w:r>
        <w:t xml:space="preserve">9. Enhance FRTEP Extension program with federal funding. </w:t>
      </w:r>
      <w:r>
        <w:rPr>
          <w:b/>
        </w:rPr>
        <w:t>Long Term.</w:t>
      </w:r>
    </w:p>
    <w:p w:rsidR="002953FF" w:rsidRDefault="002953FF" w:rsidP="00504563">
      <w:pPr>
        <w:pStyle w:val="ListParagraph"/>
        <w:spacing w:after="0"/>
        <w:ind w:left="0"/>
        <w:rPr>
          <w:b/>
        </w:rPr>
      </w:pPr>
    </w:p>
    <w:p w:rsidR="002953FF" w:rsidRPr="001355DE" w:rsidRDefault="002953FF" w:rsidP="00504563">
      <w:pPr>
        <w:pStyle w:val="ListParagraph"/>
        <w:spacing w:after="0"/>
        <w:ind w:left="0"/>
      </w:pPr>
      <w:r>
        <w:t xml:space="preserve">10. Keep Urban Horticultural Agents in urban counties. </w:t>
      </w:r>
      <w:r>
        <w:rPr>
          <w:b/>
        </w:rPr>
        <w:t>Long Term.</w:t>
      </w:r>
    </w:p>
    <w:p w:rsidR="002953FF" w:rsidRDefault="002953FF" w:rsidP="00504563">
      <w:pPr>
        <w:pStyle w:val="ListParagraph"/>
        <w:spacing w:after="0"/>
        <w:ind w:left="0"/>
      </w:pPr>
    </w:p>
    <w:p w:rsidR="002953FF" w:rsidRDefault="002953FF" w:rsidP="00D33D56">
      <w:pPr>
        <w:pStyle w:val="ListParagraph"/>
        <w:numPr>
          <w:ilvl w:val="0"/>
          <w:numId w:val="16"/>
        </w:numPr>
        <w:spacing w:after="0"/>
        <w:ind w:left="1080" w:firstLine="0"/>
      </w:pPr>
      <w:r w:rsidRPr="00C20A10">
        <w:t>Areas where totally new activities or structures are needed</w:t>
      </w:r>
      <w:r>
        <w:t>.</w:t>
      </w:r>
    </w:p>
    <w:p w:rsidR="002953FF" w:rsidRDefault="002953FF" w:rsidP="00A56AFC">
      <w:pPr>
        <w:pStyle w:val="ListParagraph"/>
        <w:spacing w:after="0"/>
        <w:ind w:left="0"/>
      </w:pPr>
    </w:p>
    <w:p w:rsidR="002953FF" w:rsidRDefault="002953FF" w:rsidP="00A56AFC">
      <w:pPr>
        <w:pStyle w:val="ListParagraph"/>
        <w:spacing w:after="0"/>
        <w:ind w:left="0"/>
      </w:pPr>
      <w:r>
        <w:t xml:space="preserve">1. Give complete autonomy to Extension Administration over the FTE’s allowed for Arizona Cooperative Extension. In order to maintain a vital core of accomplished faculty united in common programming goals to address critical needs, we must not have vacant faculty lines revert to CALS and then try to beg for them back. This is not strategic planning. </w:t>
      </w:r>
      <w:r>
        <w:rPr>
          <w:b/>
        </w:rPr>
        <w:t>Long Term.</w:t>
      </w:r>
    </w:p>
    <w:p w:rsidR="002953FF" w:rsidRDefault="002953FF" w:rsidP="00DD2E70">
      <w:pPr>
        <w:pStyle w:val="ListParagraph"/>
        <w:spacing w:after="0"/>
        <w:ind w:left="0"/>
      </w:pPr>
    </w:p>
    <w:p w:rsidR="002953FF" w:rsidRDefault="002953FF" w:rsidP="00DD2E70">
      <w:pPr>
        <w:pStyle w:val="ListParagraph"/>
        <w:spacing w:after="0"/>
        <w:ind w:left="0"/>
      </w:pPr>
      <w:r>
        <w:t xml:space="preserve">2. Accountability for Extension Specialists and Area Agents needs to be emphasized. If they are not functioning in their area or statewide specialist assignments, then negotiation should be undertaken with the department head or CED to either reclassify their assignment or to more fully communicate expectations. </w:t>
      </w:r>
      <w:r w:rsidRPr="001355DE">
        <w:rPr>
          <w:b/>
        </w:rPr>
        <w:t>Short</w:t>
      </w:r>
      <w:r>
        <w:t xml:space="preserve"> </w:t>
      </w:r>
      <w:r>
        <w:rPr>
          <w:b/>
        </w:rPr>
        <w:t>Term.</w:t>
      </w:r>
    </w:p>
    <w:p w:rsidR="002953FF" w:rsidRDefault="002953FF" w:rsidP="00DD2E70">
      <w:pPr>
        <w:pStyle w:val="ListParagraph"/>
        <w:spacing w:after="0"/>
        <w:ind w:left="0"/>
      </w:pPr>
    </w:p>
    <w:p w:rsidR="002953FF" w:rsidRDefault="002953FF" w:rsidP="00DD2E70">
      <w:pPr>
        <w:pStyle w:val="ListParagraph"/>
        <w:spacing w:after="0"/>
        <w:ind w:left="0"/>
      </w:pPr>
      <w:r>
        <w:t xml:space="preserve">3. As mentioned above, to more fully integrate the Experiment Station into Extension programming, allow for joint appointments between these two entities. Also, create a revolving pool of research grant or formula funds targeted to problem solving applied research and educational outcomes as determined by coordinated statewide planning with stakeholders, Experiment Station, and Extension faculty. </w:t>
      </w:r>
      <w:r>
        <w:rPr>
          <w:b/>
        </w:rPr>
        <w:t>Long Term.</w:t>
      </w:r>
    </w:p>
    <w:p w:rsidR="002953FF" w:rsidRDefault="002953FF" w:rsidP="00DD2E70">
      <w:pPr>
        <w:pStyle w:val="ListParagraph"/>
        <w:spacing w:after="0"/>
        <w:ind w:left="0"/>
      </w:pPr>
    </w:p>
    <w:p w:rsidR="002953FF" w:rsidRDefault="002953FF" w:rsidP="0093707A">
      <w:pPr>
        <w:pStyle w:val="ListParagraph"/>
        <w:numPr>
          <w:ilvl w:val="0"/>
          <w:numId w:val="16"/>
        </w:numPr>
        <w:spacing w:after="0"/>
        <w:ind w:left="1080" w:firstLine="0"/>
      </w:pPr>
      <w:r w:rsidRPr="00C20A10">
        <w:t>Areas to discontinue, de-emphasize, or modify</w:t>
      </w:r>
      <w:r>
        <w:t xml:space="preserve">. </w:t>
      </w:r>
    </w:p>
    <w:p w:rsidR="002953FF" w:rsidRDefault="002953FF" w:rsidP="003B45C3">
      <w:pPr>
        <w:pStyle w:val="ListParagraph"/>
        <w:spacing w:after="0"/>
        <w:ind w:left="0"/>
      </w:pPr>
    </w:p>
    <w:p w:rsidR="002953FF" w:rsidRDefault="002953FF" w:rsidP="003B45C3">
      <w:pPr>
        <w:pStyle w:val="ListParagraph"/>
        <w:spacing w:after="0"/>
        <w:ind w:left="0"/>
      </w:pPr>
      <w:r>
        <w:t xml:space="preserve">1. Let’s not make the mistake that has been made in other states for Cooperative Extension reorganization by adding additional administrative layers (e.g. regional Extension directors). This will only dilute the funding available for our mission as well as diluting the effectiveness of those individuals who would receive promotions to regional program leaders. </w:t>
      </w:r>
      <w:r>
        <w:rPr>
          <w:b/>
        </w:rPr>
        <w:t>Long Term.</w:t>
      </w:r>
    </w:p>
    <w:p w:rsidR="002953FF" w:rsidRDefault="002953FF" w:rsidP="003B45C3">
      <w:pPr>
        <w:pStyle w:val="ListParagraph"/>
        <w:spacing w:after="0"/>
        <w:ind w:left="0"/>
      </w:pPr>
    </w:p>
    <w:p w:rsidR="002953FF" w:rsidRDefault="002953FF" w:rsidP="003B45C3">
      <w:pPr>
        <w:pStyle w:val="ListParagraph"/>
        <w:spacing w:after="0"/>
        <w:ind w:left="0"/>
      </w:pPr>
      <w:r>
        <w:t xml:space="preserve">2. Depending on our funding, we may need to move from having a county agricultural agent in every county to having area agents for focus areas. However, we may be able to strategically locate these area agents so that each county has a presence. The main problem I see for this model is the impact this may have on Master Gardener programs in rural counties. As we have more competition over water resources between urban and commercial agriculture, it is even more important for this type of programming. It may be difficult to spread the efforts of urban horticulture agents to area responsibilities when they have a vital and growing program in a large urban county. I don’t know what the solution is, some regional program coordinators for Master Gardener programs? </w:t>
      </w:r>
      <w:r>
        <w:rPr>
          <w:b/>
        </w:rPr>
        <w:t>Long Term.</w:t>
      </w:r>
    </w:p>
    <w:p w:rsidR="002953FF" w:rsidRDefault="002953FF" w:rsidP="00D33D56">
      <w:pPr>
        <w:spacing w:after="0"/>
        <w:ind w:left="1080"/>
      </w:pPr>
    </w:p>
    <w:p w:rsidR="002953FF" w:rsidRDefault="002953FF" w:rsidP="0093707A">
      <w:pPr>
        <w:pStyle w:val="ListParagraph"/>
        <w:numPr>
          <w:ilvl w:val="0"/>
          <w:numId w:val="5"/>
        </w:numPr>
        <w:spacing w:after="0"/>
      </w:pPr>
      <w:r>
        <w:t>Other ideas:</w:t>
      </w:r>
    </w:p>
    <w:p w:rsidR="002953FF" w:rsidRDefault="002953FF" w:rsidP="00083560">
      <w:pPr>
        <w:pStyle w:val="ListParagraph"/>
        <w:spacing w:after="0"/>
        <w:ind w:left="0"/>
      </w:pPr>
    </w:p>
    <w:p w:rsidR="002953FF" w:rsidRDefault="002953FF" w:rsidP="00AC38A9">
      <w:pPr>
        <w:widowControl w:val="0"/>
      </w:pPr>
      <w:r>
        <w:t xml:space="preserve">Demographics: As we recover from the recession, population growth and urban expansion will continue in Arizona, placing further strains on water and increased competition with agriculture. We will need to continue with water efficiency research and water conservation educational efforts and will need to have faculty in place to deliver that research and education. We may find large scale commercial agriculture shifting away from Maricopa County. </w:t>
      </w:r>
      <w:r>
        <w:rPr>
          <w:color w:val="000000"/>
        </w:rPr>
        <w:t xml:space="preserve">In production agriculture, our clientele are aging and farming operations will be replaced by increasingly larger and more consolidated operations. With this consolidation, we will see increasing sophistication by managers as well as some unfamiliarity with Southwestern agriculture. To avoid becoming obsolete, we need to be in the forefront as problem solvers, knowledge brokers, and agents of change. Concurrently, as the urban population becomes more disconnected from agriculture, the value and contribution of agriculture to society needs to be explored as well as agriculture friendly development (instead of the sprawl we have adopted as a nation). Competition for limited resources will necessitate improved efficiency by agricultural producers for producing both food, fiber, and fuel. Some producers may broker environmental services such as wildland restoration. As land management agencies experience shrinkage of available funding, collaboration with universities and county governments may become more common. </w:t>
      </w:r>
      <w:r>
        <w:t xml:space="preserve">Indian agriculture can be expected to continue to be important and Native American clientele may request more educational programming and research as they further develop agricultural enterprises. I expect Yuma County agriculture to continue to be very important. Rangelands will still continue to be important in Arizona but the population demographics for this clientele group is due to change over the next 10 to 15 years as the age of ranchers is fast approaching “ranching” retirement age (more like 70 or 75). Of vital interest is how the transfer of ownership for ranching operations will transpire and who will be taking over these operations. More demands for our services may occur with more novice audiences. </w:t>
      </w:r>
    </w:p>
    <w:p w:rsidR="002953FF" w:rsidRDefault="002953FF" w:rsidP="00AC38A9">
      <w:pPr>
        <w:widowControl w:val="0"/>
      </w:pPr>
      <w:r>
        <w:t>One challenge we have in maintaining a quality Extension program is the extensive geography of Arizona. Some counties are very large and this does create logistical issues with Area Extension Agent assignments.</w:t>
      </w:r>
    </w:p>
    <w:p w:rsidR="002953FF" w:rsidRDefault="002953FF" w:rsidP="00AC38A9">
      <w:pPr>
        <w:widowControl w:val="0"/>
      </w:pPr>
      <w:r>
        <w:t>An approach of examination:</w:t>
      </w:r>
    </w:p>
    <w:p w:rsidR="002953FF" w:rsidRDefault="002953FF" w:rsidP="00461E4C">
      <w:pPr>
        <w:widowControl w:val="0"/>
        <w:numPr>
          <w:ilvl w:val="0"/>
          <w:numId w:val="17"/>
        </w:numPr>
        <w:rPr>
          <w:color w:val="000000"/>
        </w:rPr>
      </w:pPr>
      <w:r>
        <w:rPr>
          <w:color w:val="000000"/>
        </w:rPr>
        <w:t>Inventory and assessment of the individual resources of the unit (e.g. department, county, experiment station).</w:t>
      </w:r>
    </w:p>
    <w:p w:rsidR="002953FF" w:rsidRDefault="002953FF" w:rsidP="00461E4C">
      <w:pPr>
        <w:widowControl w:val="0"/>
        <w:numPr>
          <w:ilvl w:val="0"/>
          <w:numId w:val="17"/>
        </w:numPr>
        <w:rPr>
          <w:color w:val="000000"/>
        </w:rPr>
      </w:pPr>
      <w:r>
        <w:rPr>
          <w:color w:val="000000"/>
        </w:rPr>
        <w:t xml:space="preserve">Assess needs and problems of clientele in a </w:t>
      </w:r>
      <w:r>
        <w:rPr>
          <w:i/>
          <w:color w:val="000000"/>
        </w:rPr>
        <w:t>focused</w:t>
      </w:r>
      <w:r>
        <w:rPr>
          <w:color w:val="000000"/>
        </w:rPr>
        <w:t xml:space="preserve"> manner.</w:t>
      </w:r>
    </w:p>
    <w:p w:rsidR="002953FF" w:rsidRDefault="002953FF" w:rsidP="00461E4C">
      <w:pPr>
        <w:widowControl w:val="0"/>
        <w:numPr>
          <w:ilvl w:val="0"/>
          <w:numId w:val="17"/>
        </w:numPr>
        <w:rPr>
          <w:color w:val="000000"/>
        </w:rPr>
      </w:pPr>
      <w:r>
        <w:rPr>
          <w:color w:val="000000"/>
        </w:rPr>
        <w:t>Assess the ability of individual units to accomplish the needs of clientele by assisting in problem solving.</w:t>
      </w:r>
    </w:p>
    <w:p w:rsidR="002953FF" w:rsidRDefault="002953FF" w:rsidP="00461E4C">
      <w:pPr>
        <w:widowControl w:val="0"/>
        <w:numPr>
          <w:ilvl w:val="0"/>
          <w:numId w:val="17"/>
        </w:numPr>
        <w:rPr>
          <w:color w:val="000000"/>
        </w:rPr>
      </w:pPr>
      <w:r>
        <w:rPr>
          <w:color w:val="000000"/>
        </w:rPr>
        <w:t>Determine the perceived strengths and weaknesses of the unit and its relevance by clientele.</w:t>
      </w:r>
    </w:p>
    <w:p w:rsidR="002953FF" w:rsidRDefault="002953FF" w:rsidP="00461E4C">
      <w:pPr>
        <w:widowControl w:val="0"/>
        <w:numPr>
          <w:ilvl w:val="0"/>
          <w:numId w:val="17"/>
        </w:numPr>
        <w:rPr>
          <w:color w:val="000000"/>
        </w:rPr>
      </w:pPr>
      <w:r>
        <w:rPr>
          <w:color w:val="000000"/>
        </w:rPr>
        <w:t>Establish synergy of Campus, County, and Experiment Stations to accomplish the problem solving needed. Enlist outside agencies and stakeholders as needed in the strategy team.</w:t>
      </w:r>
    </w:p>
    <w:p w:rsidR="002953FF" w:rsidRDefault="002953FF" w:rsidP="00461E4C">
      <w:pPr>
        <w:widowControl w:val="0"/>
        <w:numPr>
          <w:ilvl w:val="0"/>
          <w:numId w:val="17"/>
        </w:numPr>
        <w:rPr>
          <w:color w:val="000000"/>
        </w:rPr>
      </w:pPr>
      <w:r>
        <w:rPr>
          <w:color w:val="000000"/>
        </w:rPr>
        <w:t>Develop a plan and work the plan.</w:t>
      </w:r>
    </w:p>
    <w:p w:rsidR="002953FF" w:rsidRDefault="002953FF" w:rsidP="00461E4C">
      <w:pPr>
        <w:widowControl w:val="0"/>
        <w:numPr>
          <w:ilvl w:val="0"/>
          <w:numId w:val="17"/>
        </w:numPr>
        <w:rPr>
          <w:color w:val="000000"/>
        </w:rPr>
      </w:pPr>
      <w:r>
        <w:rPr>
          <w:color w:val="000000"/>
        </w:rPr>
        <w:t>Present results to clientele, policy makers, the public, and the larger University.</w:t>
      </w:r>
    </w:p>
    <w:p w:rsidR="002953FF" w:rsidRDefault="002953FF" w:rsidP="00461E4C">
      <w:pPr>
        <w:widowControl w:val="0"/>
        <w:numPr>
          <w:ilvl w:val="0"/>
          <w:numId w:val="17"/>
        </w:numPr>
        <w:rPr>
          <w:color w:val="000000"/>
        </w:rPr>
      </w:pPr>
      <w:r>
        <w:rPr>
          <w:color w:val="000000"/>
        </w:rPr>
        <w:t>Evaluate results and re-plan as necessary.</w:t>
      </w:r>
    </w:p>
    <w:p w:rsidR="002953FF" w:rsidRDefault="002953FF" w:rsidP="0093707A">
      <w:pPr>
        <w:pStyle w:val="ListParagraph"/>
        <w:spacing w:after="0"/>
        <w:ind w:left="1080"/>
      </w:pPr>
    </w:p>
    <w:p w:rsidR="002953FF" w:rsidRDefault="002953FF" w:rsidP="0093707A">
      <w:pPr>
        <w:pStyle w:val="ListParagraph"/>
        <w:numPr>
          <w:ilvl w:val="0"/>
          <w:numId w:val="5"/>
        </w:numPr>
        <w:spacing w:after="0"/>
      </w:pPr>
      <w:r>
        <w:t xml:space="preserve">How does 3a-c align with/complement others CALS and UA units as well as other AZ higher education institutions? </w:t>
      </w:r>
    </w:p>
    <w:p w:rsidR="002953FF" w:rsidRDefault="002953FF" w:rsidP="00E17D09">
      <w:pPr>
        <w:pStyle w:val="ListParagraph"/>
        <w:spacing w:after="0"/>
        <w:ind w:left="0"/>
      </w:pPr>
    </w:p>
    <w:p w:rsidR="002953FF" w:rsidRDefault="002953FF" w:rsidP="00E17D09">
      <w:pPr>
        <w:pStyle w:val="ListParagraph"/>
        <w:spacing w:after="0"/>
        <w:ind w:left="0"/>
      </w:pPr>
      <w:r>
        <w:t xml:space="preserve">If we go to a more integrated approach in presenting Extension programming and in communicating research, it could enhance the effectiveness of Extension, Campus, and the Experiment Station and make us more relevant to stakeholders.  We would be “returning to our roots” as a land grant university and would be performing a service unique from the other AZ universities. </w:t>
      </w:r>
    </w:p>
    <w:p w:rsidR="002953FF" w:rsidRDefault="002953FF" w:rsidP="0093707A">
      <w:pPr>
        <w:pStyle w:val="ListParagraph"/>
        <w:spacing w:after="0"/>
        <w:ind w:left="1080"/>
      </w:pPr>
    </w:p>
    <w:p w:rsidR="002953FF" w:rsidRDefault="002953FF" w:rsidP="0093707A">
      <w:pPr>
        <w:pStyle w:val="ListParagraph"/>
        <w:numPr>
          <w:ilvl w:val="0"/>
          <w:numId w:val="5"/>
        </w:numPr>
        <w:spacing w:after="0"/>
      </w:pPr>
      <w:r>
        <w:t>Record of dissenting opinions:</w:t>
      </w:r>
    </w:p>
    <w:p w:rsidR="002953FF" w:rsidRDefault="002953FF" w:rsidP="0093707A">
      <w:pPr>
        <w:spacing w:after="0"/>
      </w:pPr>
    </w:p>
    <w:p w:rsidR="002953FF" w:rsidRDefault="002953FF" w:rsidP="0093707A">
      <w:pPr>
        <w:pStyle w:val="ListParagraph"/>
        <w:numPr>
          <w:ilvl w:val="0"/>
          <w:numId w:val="5"/>
        </w:numPr>
        <w:spacing w:after="0"/>
      </w:pPr>
      <w:r>
        <w:t xml:space="preserve">Additional details (may not be strategic but are good ideas): </w:t>
      </w:r>
    </w:p>
    <w:p w:rsidR="002953FF" w:rsidRDefault="002953FF" w:rsidP="00D33D56">
      <w:pPr>
        <w:pStyle w:val="ListParagraph"/>
      </w:pPr>
    </w:p>
    <w:p w:rsidR="002953FF" w:rsidRDefault="002953FF" w:rsidP="0040527E">
      <w:pPr>
        <w:pStyle w:val="ListParagraph"/>
        <w:numPr>
          <w:ilvl w:val="0"/>
          <w:numId w:val="5"/>
        </w:numPr>
        <w:spacing w:after="0"/>
      </w:pPr>
      <w:r>
        <w:t>Appendices (only if needed).</w:t>
      </w:r>
    </w:p>
    <w:p w:rsidR="002953FF" w:rsidRDefault="002953FF" w:rsidP="0040527E">
      <w:pPr>
        <w:pStyle w:val="ListParagraph"/>
        <w:spacing w:after="0"/>
        <w:ind w:left="0"/>
      </w:pPr>
    </w:p>
    <w:p w:rsidR="002953FF" w:rsidRDefault="002953FF" w:rsidP="0040527E">
      <w:pPr>
        <w:widowControl w:val="0"/>
        <w:rPr>
          <w:color w:val="000000"/>
        </w:rPr>
      </w:pPr>
      <w:r>
        <w:t xml:space="preserve">For a good example of early Extension and its coordinated role with the Experiment Station and Campus research see the </w:t>
      </w:r>
      <w:r>
        <w:rPr>
          <w:i/>
        </w:rPr>
        <w:t>History of the Boll Weevil in Alabama 1910-2007</w:t>
      </w:r>
      <w:r>
        <w:t xml:space="preserve">, Bulletin 670, by R. H. Smith (available at </w:t>
      </w:r>
      <w:hyperlink r:id="rId7" w:history="1">
        <w:r w:rsidRPr="00B0199A">
          <w:rPr>
            <w:rStyle w:val="Hyperlink"/>
          </w:rPr>
          <w:t>http://www.ag.auburn.edu/aaes/communications/bulletins/bull670.pdf</w:t>
        </w:r>
      </w:hyperlink>
      <w:r>
        <w:rPr>
          <w:color w:val="000000"/>
        </w:rPr>
        <w:t xml:space="preserve">). This story exemplifies the principle of united purpose and synergy in solving a problem with large social impact. Extension specialists and agents worked in concert with researchers </w:t>
      </w:r>
      <w:r>
        <w:rPr>
          <w:b/>
          <w:i/>
          <w:color w:val="000000"/>
        </w:rPr>
        <w:t>AND</w:t>
      </w:r>
      <w:r>
        <w:rPr>
          <w:color w:val="000000"/>
        </w:rPr>
        <w:t xml:space="preserve"> stakeholders to resurrect a local economy and improve the lives of the people. We need to imitate the synergy of the early Alabama pioneers and (1) identify problems faced by the people of Arizona; and (2) commonly unite our sources (County and Tribal Extension, Campus Extension, Experiment Stations, and Campus Departments and Schools) in addressing problems so as to better interface with stakeholders. Why not pick one or two program/research areas to focus on after meeting with clientele to discover what is most needed and try this synergy?</w:t>
      </w:r>
    </w:p>
    <w:p w:rsidR="002953FF" w:rsidRDefault="002953FF" w:rsidP="0040527E">
      <w:pPr>
        <w:widowControl w:val="0"/>
        <w:rPr>
          <w:color w:val="000000"/>
        </w:rPr>
      </w:pPr>
    </w:p>
    <w:p w:rsidR="002953FF" w:rsidRDefault="002953FF" w:rsidP="0040527E">
      <w:pPr>
        <w:pStyle w:val="ListParagraph"/>
        <w:spacing w:after="0"/>
        <w:ind w:left="0"/>
      </w:pPr>
    </w:p>
    <w:p w:rsidR="002953FF" w:rsidRDefault="002953FF" w:rsidP="0093707A">
      <w:pPr>
        <w:spacing w:after="0"/>
      </w:pPr>
    </w:p>
    <w:p w:rsidR="002953FF" w:rsidRDefault="002953FF" w:rsidP="0093707A">
      <w:pPr>
        <w:pStyle w:val="ListParagraph"/>
        <w:spacing w:after="0"/>
      </w:pPr>
    </w:p>
    <w:p w:rsidR="002953FF" w:rsidRDefault="002953FF" w:rsidP="00ED1201">
      <w:pPr>
        <w:spacing w:after="0"/>
      </w:pPr>
    </w:p>
    <w:sectPr w:rsidR="002953FF" w:rsidSect="00EB045C">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3FF" w:rsidRDefault="002953FF" w:rsidP="00B449B7">
      <w:pPr>
        <w:spacing w:after="0" w:line="240" w:lineRule="auto"/>
      </w:pPr>
      <w:r>
        <w:separator/>
      </w:r>
    </w:p>
  </w:endnote>
  <w:endnote w:type="continuationSeparator" w:id="0">
    <w:p w:rsidR="002953FF" w:rsidRDefault="002953FF" w:rsidP="00B449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3FF" w:rsidRDefault="002953FF" w:rsidP="002D5C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953FF" w:rsidRDefault="002953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3FF" w:rsidRDefault="002953FF" w:rsidP="002D5C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953FF" w:rsidRDefault="002953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3FF" w:rsidRDefault="002953FF" w:rsidP="00B449B7">
      <w:pPr>
        <w:spacing w:after="0" w:line="240" w:lineRule="auto"/>
      </w:pPr>
      <w:r>
        <w:separator/>
      </w:r>
    </w:p>
  </w:footnote>
  <w:footnote w:type="continuationSeparator" w:id="0">
    <w:p w:rsidR="002953FF" w:rsidRDefault="002953FF" w:rsidP="00B449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3FF" w:rsidRDefault="002953FF" w:rsidP="00B449B7">
    <w:pPr>
      <w:pStyle w:val="Heade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05B60"/>
    <w:multiLevelType w:val="hybridMultilevel"/>
    <w:tmpl w:val="68C6E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0037A9"/>
    <w:multiLevelType w:val="hybridMultilevel"/>
    <w:tmpl w:val="FC165B80"/>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3">
      <w:start w:val="1"/>
      <w:numFmt w:val="bullet"/>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536D3B"/>
    <w:multiLevelType w:val="hybridMultilevel"/>
    <w:tmpl w:val="2668A7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8337F97"/>
    <w:multiLevelType w:val="hybridMultilevel"/>
    <w:tmpl w:val="BB50928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87F0795"/>
    <w:multiLevelType w:val="hybridMultilevel"/>
    <w:tmpl w:val="184EB108"/>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3DC7992"/>
    <w:multiLevelType w:val="hybridMultilevel"/>
    <w:tmpl w:val="4E6265F4"/>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69B3E50"/>
    <w:multiLevelType w:val="hybridMultilevel"/>
    <w:tmpl w:val="C6309EF2"/>
    <w:lvl w:ilvl="0" w:tplc="97089CC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37806A45"/>
    <w:multiLevelType w:val="hybridMultilevel"/>
    <w:tmpl w:val="3EFA4BEA"/>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B41360"/>
    <w:multiLevelType w:val="hybridMultilevel"/>
    <w:tmpl w:val="0F02064C"/>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4D503473"/>
    <w:multiLevelType w:val="hybridMultilevel"/>
    <w:tmpl w:val="9594E7E8"/>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DE05E4C"/>
    <w:multiLevelType w:val="hybridMultilevel"/>
    <w:tmpl w:val="8D2A137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4F82715B"/>
    <w:multiLevelType w:val="hybridMultilevel"/>
    <w:tmpl w:val="29AAA5D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CBE3B12"/>
    <w:multiLevelType w:val="hybridMultilevel"/>
    <w:tmpl w:val="51C0C6C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AA87606"/>
    <w:multiLevelType w:val="hybridMultilevel"/>
    <w:tmpl w:val="4C48BED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772D3BC4"/>
    <w:multiLevelType w:val="hybridMultilevel"/>
    <w:tmpl w:val="C9EC1F00"/>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A496C0A4">
      <w:start w:val="1"/>
      <w:numFmt w:val="upperLetter"/>
      <w:lvlText w:val="%3)"/>
      <w:lvlJc w:val="left"/>
      <w:pPr>
        <w:ind w:left="1980" w:hanging="360"/>
      </w:pPr>
      <w:rPr>
        <w:rFonts w:cs="Times New Roman"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7A9624A2"/>
    <w:multiLevelType w:val="hybridMultilevel"/>
    <w:tmpl w:val="2AD69B6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3253E9"/>
    <w:multiLevelType w:val="hybridMultilevel"/>
    <w:tmpl w:val="AF0E563C"/>
    <w:lvl w:ilvl="0" w:tplc="04090003">
      <w:start w:val="1"/>
      <w:numFmt w:val="bullet"/>
      <w:lvlText w:val="o"/>
      <w:lvlJc w:val="left"/>
      <w:pPr>
        <w:ind w:left="2880" w:hanging="360"/>
      </w:pPr>
      <w:rPr>
        <w:rFonts w:ascii="Courier New" w:hAnsi="Courier New"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7E141A3D"/>
    <w:multiLevelType w:val="hybridMultilevel"/>
    <w:tmpl w:val="A46E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3"/>
  </w:num>
  <w:num w:numId="4">
    <w:abstractNumId w:val="12"/>
  </w:num>
  <w:num w:numId="5">
    <w:abstractNumId w:val="6"/>
  </w:num>
  <w:num w:numId="6">
    <w:abstractNumId w:val="14"/>
  </w:num>
  <w:num w:numId="7">
    <w:abstractNumId w:val="0"/>
  </w:num>
  <w:num w:numId="8">
    <w:abstractNumId w:val="9"/>
  </w:num>
  <w:num w:numId="9">
    <w:abstractNumId w:val="8"/>
  </w:num>
  <w:num w:numId="10">
    <w:abstractNumId w:val="7"/>
  </w:num>
  <w:num w:numId="11">
    <w:abstractNumId w:val="1"/>
  </w:num>
  <w:num w:numId="12">
    <w:abstractNumId w:val="5"/>
  </w:num>
  <w:num w:numId="13">
    <w:abstractNumId w:val="15"/>
  </w:num>
  <w:num w:numId="14">
    <w:abstractNumId w:val="16"/>
  </w:num>
  <w:num w:numId="15">
    <w:abstractNumId w:val="17"/>
  </w:num>
  <w:num w:numId="16">
    <w:abstractNumId w:val="11"/>
  </w:num>
  <w:num w:numId="17">
    <w:abstractNumId w:val="4"/>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2D0B"/>
    <w:rsid w:val="00001B35"/>
    <w:rsid w:val="00071534"/>
    <w:rsid w:val="00083560"/>
    <w:rsid w:val="000A6CBC"/>
    <w:rsid w:val="000C3207"/>
    <w:rsid w:val="000C3E06"/>
    <w:rsid w:val="00106E6C"/>
    <w:rsid w:val="001355DE"/>
    <w:rsid w:val="0014042F"/>
    <w:rsid w:val="0016024D"/>
    <w:rsid w:val="00172579"/>
    <w:rsid w:val="00190706"/>
    <w:rsid w:val="001A2FD1"/>
    <w:rsid w:val="002173B5"/>
    <w:rsid w:val="00224ADA"/>
    <w:rsid w:val="002353DD"/>
    <w:rsid w:val="00235F4E"/>
    <w:rsid w:val="00255D81"/>
    <w:rsid w:val="00263A48"/>
    <w:rsid w:val="00272D0B"/>
    <w:rsid w:val="002953FF"/>
    <w:rsid w:val="002D5C0D"/>
    <w:rsid w:val="002E58E4"/>
    <w:rsid w:val="00337AA1"/>
    <w:rsid w:val="00354FFD"/>
    <w:rsid w:val="00356AE5"/>
    <w:rsid w:val="00367364"/>
    <w:rsid w:val="003B45C3"/>
    <w:rsid w:val="003C613B"/>
    <w:rsid w:val="003F1CB5"/>
    <w:rsid w:val="003F62AA"/>
    <w:rsid w:val="0040527E"/>
    <w:rsid w:val="00461E4C"/>
    <w:rsid w:val="004F7CB2"/>
    <w:rsid w:val="00501AD1"/>
    <w:rsid w:val="00504563"/>
    <w:rsid w:val="0056243E"/>
    <w:rsid w:val="005A0669"/>
    <w:rsid w:val="005C65BF"/>
    <w:rsid w:val="005F6459"/>
    <w:rsid w:val="006121F6"/>
    <w:rsid w:val="00642CB3"/>
    <w:rsid w:val="006B2B96"/>
    <w:rsid w:val="006D5DEB"/>
    <w:rsid w:val="007442CC"/>
    <w:rsid w:val="007A70B6"/>
    <w:rsid w:val="007C05DB"/>
    <w:rsid w:val="008177EA"/>
    <w:rsid w:val="00870FAA"/>
    <w:rsid w:val="008829DA"/>
    <w:rsid w:val="00886648"/>
    <w:rsid w:val="008B52A3"/>
    <w:rsid w:val="008C5DBD"/>
    <w:rsid w:val="00912B0B"/>
    <w:rsid w:val="0093707A"/>
    <w:rsid w:val="00955ABE"/>
    <w:rsid w:val="00975150"/>
    <w:rsid w:val="009B6403"/>
    <w:rsid w:val="009C2134"/>
    <w:rsid w:val="00A006F4"/>
    <w:rsid w:val="00A173BA"/>
    <w:rsid w:val="00A308CB"/>
    <w:rsid w:val="00A56AFC"/>
    <w:rsid w:val="00A66585"/>
    <w:rsid w:val="00AB7397"/>
    <w:rsid w:val="00AC38A9"/>
    <w:rsid w:val="00AD2BFA"/>
    <w:rsid w:val="00B00391"/>
    <w:rsid w:val="00B0199A"/>
    <w:rsid w:val="00B079DA"/>
    <w:rsid w:val="00B34B01"/>
    <w:rsid w:val="00B449B7"/>
    <w:rsid w:val="00BC44E9"/>
    <w:rsid w:val="00C140C4"/>
    <w:rsid w:val="00C20A10"/>
    <w:rsid w:val="00C723E2"/>
    <w:rsid w:val="00CC4B10"/>
    <w:rsid w:val="00CD0E1D"/>
    <w:rsid w:val="00D129A2"/>
    <w:rsid w:val="00D17A8C"/>
    <w:rsid w:val="00D33D56"/>
    <w:rsid w:val="00D529AC"/>
    <w:rsid w:val="00D55492"/>
    <w:rsid w:val="00D90AD6"/>
    <w:rsid w:val="00DB730B"/>
    <w:rsid w:val="00DC3927"/>
    <w:rsid w:val="00DD2E70"/>
    <w:rsid w:val="00DF430E"/>
    <w:rsid w:val="00E02278"/>
    <w:rsid w:val="00E17D09"/>
    <w:rsid w:val="00E31512"/>
    <w:rsid w:val="00E35E10"/>
    <w:rsid w:val="00E444EE"/>
    <w:rsid w:val="00E90818"/>
    <w:rsid w:val="00EB045C"/>
    <w:rsid w:val="00ED1201"/>
    <w:rsid w:val="00EE2C43"/>
    <w:rsid w:val="00F06E8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45C"/>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72D0B"/>
    <w:pPr>
      <w:ind w:left="720"/>
      <w:contextualSpacing/>
    </w:pPr>
  </w:style>
  <w:style w:type="character" w:styleId="Hyperlink">
    <w:name w:val="Hyperlink"/>
    <w:basedOn w:val="DefaultParagraphFont"/>
    <w:uiPriority w:val="99"/>
    <w:rsid w:val="00B079DA"/>
    <w:rPr>
      <w:rFonts w:cs="Times New Roman"/>
      <w:color w:val="0000FF"/>
      <w:u w:val="single"/>
    </w:rPr>
  </w:style>
  <w:style w:type="paragraph" w:styleId="Header">
    <w:name w:val="header"/>
    <w:basedOn w:val="Normal"/>
    <w:link w:val="HeaderChar"/>
    <w:uiPriority w:val="99"/>
    <w:rsid w:val="00B449B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449B7"/>
    <w:rPr>
      <w:rFonts w:cs="Times New Roman"/>
    </w:rPr>
  </w:style>
  <w:style w:type="paragraph" w:styleId="Footer">
    <w:name w:val="footer"/>
    <w:basedOn w:val="Normal"/>
    <w:link w:val="FooterChar"/>
    <w:uiPriority w:val="99"/>
    <w:rsid w:val="00B449B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449B7"/>
    <w:rPr>
      <w:rFonts w:cs="Times New Roman"/>
    </w:rPr>
  </w:style>
  <w:style w:type="character" w:styleId="PageNumber">
    <w:name w:val="page number"/>
    <w:basedOn w:val="DefaultParagraphFont"/>
    <w:uiPriority w:val="99"/>
    <w:rsid w:val="00912B0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g.auburn.edu/aaes/communications/bulletins/bull670.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3150</Words>
  <Characters>17961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Arizona Cooperative Extension Strategic Planning Initial Report</dc:title>
  <dc:subject/>
  <dc:creator>sburgess</dc:creator>
  <cp:keywords/>
  <dc:description/>
  <cp:lastModifiedBy>jsprinkle</cp:lastModifiedBy>
  <cp:revision>2</cp:revision>
  <cp:lastPrinted>2012-03-19T23:58:00Z</cp:lastPrinted>
  <dcterms:created xsi:type="dcterms:W3CDTF">2012-03-20T00:46:00Z</dcterms:created>
  <dcterms:modified xsi:type="dcterms:W3CDTF">2012-03-20T00:46:00Z</dcterms:modified>
</cp:coreProperties>
</file>