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047" w:rsidRDefault="001B7047" w:rsidP="001B7047">
      <w:pPr>
        <w:spacing w:before="120"/>
        <w:ind w:left="-720" w:right="-720"/>
        <w:jc w:val="center"/>
        <w:rPr>
          <w:rFonts w:ascii="Arial" w:hAnsi="Arial"/>
          <w:color w:val="003976"/>
          <w:sz w:val="20"/>
          <w:szCs w:val="20"/>
        </w:rPr>
      </w:pPr>
      <w:r>
        <w:rPr>
          <w:rFonts w:ascii="Arial" w:hAnsi="Arial"/>
          <w:noProof/>
          <w:color w:val="003976"/>
          <w:sz w:val="20"/>
          <w:szCs w:val="20"/>
        </w:rPr>
        <w:drawing>
          <wp:anchor distT="0" distB="0" distL="114300" distR="114300" simplePos="0" relativeHeight="251658240" behindDoc="1" locked="0" layoutInCell="1" allowOverlap="1">
            <wp:simplePos x="0" y="0"/>
            <wp:positionH relativeFrom="column">
              <wp:posOffset>-609600</wp:posOffset>
            </wp:positionH>
            <wp:positionV relativeFrom="paragraph">
              <wp:posOffset>-228600</wp:posOffset>
            </wp:positionV>
            <wp:extent cx="7315200" cy="876300"/>
            <wp:effectExtent l="0" t="0" r="0" b="0"/>
            <wp:wrapTight wrapText="bothSides">
              <wp:wrapPolygon edited="0">
                <wp:start x="225" y="0"/>
                <wp:lineTo x="0" y="9861"/>
                <wp:lineTo x="0" y="21130"/>
                <wp:lineTo x="21544" y="21130"/>
                <wp:lineTo x="21544" y="12209"/>
                <wp:lineTo x="20644" y="10330"/>
                <wp:lineTo x="17156" y="6104"/>
                <wp:lineTo x="13781" y="2348"/>
                <wp:lineTo x="10069" y="0"/>
                <wp:lineTo x="225" y="0"/>
              </wp:wrapPolygon>
            </wp:wrapTight>
            <wp:docPr id="1" name="Picture 1" descr="TurfTip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fTips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047" w:rsidRDefault="001B7047" w:rsidP="001B7047">
      <w:pPr>
        <w:spacing w:before="120"/>
        <w:ind w:left="-720" w:right="-720"/>
        <w:jc w:val="center"/>
        <w:rPr>
          <w:rFonts w:ascii="Helvetica" w:hAnsi="Helvetica"/>
          <w:color w:val="003976"/>
          <w:sz w:val="18"/>
          <w:szCs w:val="18"/>
        </w:rPr>
      </w:pPr>
      <w:r>
        <w:rPr>
          <w:rFonts w:ascii="Helvetica" w:hAnsi="Helvetica"/>
          <w:color w:val="003976"/>
          <w:sz w:val="18"/>
          <w:szCs w:val="18"/>
        </w:rPr>
        <w:t>School of Plant Sciences</w:t>
      </w:r>
      <w:r w:rsidRPr="00E71E85">
        <w:rPr>
          <w:rFonts w:ascii="Helvetica" w:hAnsi="Helvetica"/>
          <w:color w:val="003976"/>
          <w:sz w:val="18"/>
          <w:szCs w:val="18"/>
        </w:rPr>
        <w:t xml:space="preserve"> • </w:t>
      </w:r>
      <w:r>
        <w:rPr>
          <w:rFonts w:ascii="Helvetica" w:hAnsi="Helvetica"/>
          <w:color w:val="003976"/>
          <w:sz w:val="18"/>
          <w:szCs w:val="18"/>
        </w:rPr>
        <w:t>Tucson</w:t>
      </w:r>
      <w:r w:rsidRPr="00E71E85">
        <w:rPr>
          <w:rFonts w:ascii="Helvetica" w:hAnsi="Helvetica"/>
          <w:color w:val="003976"/>
          <w:sz w:val="18"/>
          <w:szCs w:val="18"/>
        </w:rPr>
        <w:t xml:space="preserve"> AZ </w:t>
      </w:r>
      <w:r>
        <w:rPr>
          <w:rFonts w:ascii="Helvetica" w:hAnsi="Helvetica"/>
          <w:color w:val="003976"/>
          <w:sz w:val="18"/>
          <w:szCs w:val="18"/>
        </w:rPr>
        <w:t xml:space="preserve"> 85721 </w:t>
      </w:r>
      <w:r w:rsidRPr="00E71E85">
        <w:rPr>
          <w:rFonts w:ascii="Helvetica" w:hAnsi="Helvetica"/>
          <w:color w:val="003976"/>
          <w:sz w:val="18"/>
          <w:szCs w:val="18"/>
        </w:rPr>
        <w:t xml:space="preserve">• </w:t>
      </w:r>
      <w:r>
        <w:rPr>
          <w:rFonts w:ascii="Helvetica" w:hAnsi="Helvetica"/>
          <w:color w:val="003976"/>
          <w:sz w:val="18"/>
          <w:szCs w:val="18"/>
        </w:rPr>
        <w:t>520 621 1977</w:t>
      </w:r>
      <w:r w:rsidRPr="00E71E85">
        <w:rPr>
          <w:rFonts w:ascii="Helvetica" w:hAnsi="Helvetica"/>
          <w:color w:val="003976"/>
          <w:sz w:val="18"/>
          <w:szCs w:val="18"/>
        </w:rPr>
        <w:t xml:space="preserve"> • F</w:t>
      </w:r>
      <w:r>
        <w:rPr>
          <w:rFonts w:ascii="Helvetica" w:hAnsi="Helvetica"/>
          <w:color w:val="003976"/>
          <w:sz w:val="18"/>
          <w:szCs w:val="18"/>
        </w:rPr>
        <w:t>ax</w:t>
      </w:r>
      <w:r w:rsidRPr="00E71E85">
        <w:rPr>
          <w:rFonts w:ascii="Helvetica" w:hAnsi="Helvetica"/>
          <w:color w:val="003976"/>
          <w:sz w:val="18"/>
          <w:szCs w:val="18"/>
        </w:rPr>
        <w:t xml:space="preserve">: </w:t>
      </w:r>
      <w:r>
        <w:rPr>
          <w:rFonts w:ascii="Helvetica" w:hAnsi="Helvetica"/>
          <w:color w:val="003976"/>
          <w:sz w:val="18"/>
          <w:szCs w:val="18"/>
        </w:rPr>
        <w:t>520 621 7186</w:t>
      </w:r>
      <w:r w:rsidRPr="00E71E85">
        <w:rPr>
          <w:rFonts w:ascii="Helvetica" w:hAnsi="Helvetica"/>
          <w:color w:val="003976"/>
          <w:sz w:val="18"/>
          <w:szCs w:val="18"/>
        </w:rPr>
        <w:t xml:space="preserve"> • </w:t>
      </w:r>
      <w:hyperlink r:id="rId9" w:history="1">
        <w:r w:rsidR="00E35955" w:rsidRPr="00606C9F">
          <w:rPr>
            <w:rStyle w:val="Hyperlink"/>
            <w:rFonts w:ascii="Helvetica" w:hAnsi="Helvetica"/>
            <w:sz w:val="18"/>
            <w:szCs w:val="18"/>
          </w:rPr>
          <w:t>http://turf.arizona.edu</w:t>
        </w:r>
      </w:hyperlink>
    </w:p>
    <w:p w:rsidR="00723E56" w:rsidRPr="00723E56" w:rsidRDefault="00723E56" w:rsidP="00723E56">
      <w:pPr>
        <w:spacing w:after="200" w:line="480" w:lineRule="auto"/>
        <w:contextualSpacing/>
        <w:rPr>
          <w:rFonts w:asciiTheme="minorHAnsi" w:eastAsiaTheme="minorHAnsi" w:hAnsiTheme="minorHAnsi" w:cstheme="minorBidi"/>
          <w:i/>
          <w:sz w:val="22"/>
          <w:szCs w:val="22"/>
        </w:rPr>
      </w:pPr>
    </w:p>
    <w:p w:rsidR="00723E56" w:rsidRDefault="00723E56" w:rsidP="00447335">
      <w:pPr>
        <w:spacing w:after="200"/>
        <w:contextualSpacing/>
        <w:rPr>
          <w:rFonts w:eastAsiaTheme="minorHAnsi"/>
          <w:b/>
          <w:sz w:val="28"/>
          <w:szCs w:val="28"/>
        </w:rPr>
      </w:pPr>
      <w:r w:rsidRPr="00447335">
        <w:rPr>
          <w:rFonts w:eastAsiaTheme="minorHAnsi"/>
          <w:b/>
          <w:sz w:val="28"/>
          <w:szCs w:val="28"/>
        </w:rPr>
        <w:t>Basic Pre-emergence weed control in lawns:</w:t>
      </w:r>
    </w:p>
    <w:p w:rsidR="00026D10" w:rsidRPr="00447335" w:rsidRDefault="00026D10" w:rsidP="00447335">
      <w:pPr>
        <w:spacing w:after="200"/>
        <w:contextualSpacing/>
        <w:rPr>
          <w:rFonts w:eastAsiaTheme="minorHAnsi"/>
          <w:b/>
          <w:sz w:val="28"/>
          <w:szCs w:val="28"/>
        </w:rPr>
      </w:pPr>
    </w:p>
    <w:p w:rsidR="00723E56" w:rsidRPr="00026D10" w:rsidRDefault="00DC29F3" w:rsidP="00447335">
      <w:pPr>
        <w:spacing w:after="200"/>
        <w:contextualSpacing/>
        <w:rPr>
          <w:rFonts w:eastAsiaTheme="minorHAnsi"/>
          <w:sz w:val="22"/>
          <w:szCs w:val="22"/>
        </w:rPr>
      </w:pPr>
      <w:r>
        <w:rPr>
          <w:rFonts w:eastAsiaTheme="minorHAnsi"/>
          <w:sz w:val="22"/>
          <w:szCs w:val="22"/>
        </w:rPr>
        <w:t>“</w:t>
      </w:r>
      <w:r w:rsidR="00723E56" w:rsidRPr="00026D10">
        <w:rPr>
          <w:rFonts w:eastAsiaTheme="minorHAnsi"/>
          <w:sz w:val="22"/>
          <w:szCs w:val="22"/>
        </w:rPr>
        <w:t>Turf Tips</w:t>
      </w:r>
      <w:r>
        <w:rPr>
          <w:rFonts w:eastAsiaTheme="minorHAnsi"/>
          <w:sz w:val="22"/>
          <w:szCs w:val="22"/>
        </w:rPr>
        <w:t>”</w:t>
      </w:r>
      <w:r w:rsidR="00723E56" w:rsidRPr="00026D10">
        <w:rPr>
          <w:rFonts w:eastAsiaTheme="minorHAnsi"/>
          <w:sz w:val="22"/>
          <w:szCs w:val="22"/>
        </w:rPr>
        <w:t xml:space="preserve"> News Letter</w:t>
      </w:r>
      <w:bookmarkStart w:id="0" w:name="_GoBack"/>
      <w:bookmarkEnd w:id="0"/>
    </w:p>
    <w:p w:rsidR="00723E56" w:rsidRPr="00026D10" w:rsidRDefault="00723E56" w:rsidP="00447335">
      <w:pPr>
        <w:spacing w:after="200"/>
        <w:contextualSpacing/>
        <w:rPr>
          <w:rFonts w:eastAsiaTheme="minorHAnsi"/>
          <w:sz w:val="22"/>
          <w:szCs w:val="22"/>
        </w:rPr>
      </w:pPr>
      <w:r w:rsidRPr="00026D10">
        <w:rPr>
          <w:rFonts w:eastAsiaTheme="minorHAnsi"/>
          <w:sz w:val="22"/>
          <w:szCs w:val="22"/>
        </w:rPr>
        <w:t>Volume 1.  No. 2: FEB 2015.</w:t>
      </w:r>
    </w:p>
    <w:p w:rsidR="00723E56" w:rsidRPr="00447335" w:rsidRDefault="00723E56" w:rsidP="00447335">
      <w:pPr>
        <w:spacing w:after="200"/>
        <w:contextualSpacing/>
        <w:rPr>
          <w:rFonts w:eastAsiaTheme="minorHAnsi"/>
          <w:sz w:val="28"/>
          <w:szCs w:val="28"/>
        </w:rPr>
      </w:pPr>
    </w:p>
    <w:p w:rsidR="00447335" w:rsidRDefault="00723E56" w:rsidP="00447335">
      <w:pPr>
        <w:spacing w:after="200"/>
        <w:contextualSpacing/>
        <w:rPr>
          <w:rFonts w:eastAsiaTheme="minorHAnsi"/>
          <w:sz w:val="28"/>
          <w:szCs w:val="28"/>
        </w:rPr>
      </w:pPr>
      <w:r w:rsidRPr="00447335">
        <w:rPr>
          <w:rFonts w:eastAsiaTheme="minorHAnsi"/>
          <w:sz w:val="28"/>
          <w:szCs w:val="28"/>
        </w:rPr>
        <w:t xml:space="preserve">Spring means warmer weather, whether you are in </w:t>
      </w:r>
      <w:r w:rsidR="00E02B8A">
        <w:rPr>
          <w:rFonts w:eastAsiaTheme="minorHAnsi"/>
          <w:sz w:val="28"/>
          <w:szCs w:val="28"/>
        </w:rPr>
        <w:t>Flagstaff</w:t>
      </w:r>
      <w:r w:rsidRPr="00447335">
        <w:rPr>
          <w:rFonts w:eastAsiaTheme="minorHAnsi"/>
          <w:sz w:val="28"/>
          <w:szCs w:val="28"/>
        </w:rPr>
        <w:t xml:space="preserve">, or Yuma.  Turfgrass weeds that must come up from seeds and then die later are called “annuals”.  There are two categories of annual weeds. There are “summer”, </w:t>
      </w:r>
      <w:r w:rsidR="00E02B8A">
        <w:rPr>
          <w:rFonts w:eastAsiaTheme="minorHAnsi"/>
          <w:sz w:val="28"/>
          <w:szCs w:val="28"/>
        </w:rPr>
        <w:t xml:space="preserve">and </w:t>
      </w:r>
      <w:r w:rsidRPr="00447335">
        <w:rPr>
          <w:rFonts w:eastAsiaTheme="minorHAnsi"/>
          <w:sz w:val="28"/>
          <w:szCs w:val="28"/>
        </w:rPr>
        <w:t>“winter” annual weeds.  Summer annual weeds  germinate from seed in late winter or early spring, and  then thrive through the summer months,  which includes the production of more seed to come up for the next year !</w:t>
      </w:r>
      <w:r w:rsidR="00447335">
        <w:rPr>
          <w:rFonts w:eastAsiaTheme="minorHAnsi"/>
          <w:sz w:val="28"/>
          <w:szCs w:val="28"/>
        </w:rPr>
        <w:t xml:space="preserve"> </w:t>
      </w:r>
    </w:p>
    <w:p w:rsidR="00723E56" w:rsidRPr="00447335" w:rsidRDefault="00723E56" w:rsidP="00447335">
      <w:pPr>
        <w:spacing w:after="200"/>
        <w:contextualSpacing/>
        <w:rPr>
          <w:rFonts w:eastAsiaTheme="minorHAnsi"/>
          <w:sz w:val="28"/>
          <w:szCs w:val="28"/>
        </w:rPr>
      </w:pPr>
      <w:r w:rsidRPr="00447335">
        <w:rPr>
          <w:rFonts w:eastAsiaTheme="minorHAnsi"/>
          <w:sz w:val="28"/>
          <w:szCs w:val="28"/>
        </w:rPr>
        <w:t xml:space="preserve">  </w:t>
      </w:r>
    </w:p>
    <w:p w:rsidR="00723E56" w:rsidRDefault="00723E56" w:rsidP="00447335">
      <w:pPr>
        <w:spacing w:after="200"/>
        <w:contextualSpacing/>
        <w:rPr>
          <w:rFonts w:eastAsiaTheme="minorHAnsi"/>
          <w:sz w:val="28"/>
          <w:szCs w:val="28"/>
        </w:rPr>
      </w:pPr>
      <w:r w:rsidRPr="00447335">
        <w:rPr>
          <w:rFonts w:eastAsiaTheme="minorHAnsi"/>
          <w:sz w:val="28"/>
          <w:szCs w:val="28"/>
        </w:rPr>
        <w:t xml:space="preserve">In cases where the same annual weeds come up year after year, it is actually easier to prevent annual weeds from becoming established at all by using a pre-emergence herbicide, than to treat them after they come up with a “post emergence” weed control product.   </w:t>
      </w:r>
    </w:p>
    <w:p w:rsidR="00447335" w:rsidRPr="00447335" w:rsidRDefault="00447335" w:rsidP="00447335">
      <w:pPr>
        <w:spacing w:after="200"/>
        <w:contextualSpacing/>
        <w:rPr>
          <w:rFonts w:eastAsiaTheme="minorHAnsi"/>
          <w:sz w:val="28"/>
          <w:szCs w:val="28"/>
        </w:rPr>
      </w:pPr>
    </w:p>
    <w:p w:rsidR="00447335" w:rsidRDefault="00723E56" w:rsidP="00447335">
      <w:pPr>
        <w:spacing w:after="200"/>
        <w:contextualSpacing/>
        <w:rPr>
          <w:rFonts w:eastAsiaTheme="minorHAnsi"/>
          <w:sz w:val="28"/>
          <w:szCs w:val="28"/>
        </w:rPr>
      </w:pPr>
      <w:r w:rsidRPr="00447335">
        <w:rPr>
          <w:rFonts w:eastAsiaTheme="minorHAnsi"/>
          <w:sz w:val="28"/>
          <w:szCs w:val="28"/>
        </w:rPr>
        <w:t xml:space="preserve">Pre-emergence herbicides actually allow germination to occur, which is separate from emergence. Actually emergence is the first visible sign of a leaf and shoot to reach the soil surface after germination (inside the seed) has occurred.  In most cases, pre-emergence herbicides stop the seedling root from growing, which prevents the emergence of the shoot that you “don’t see”.   </w:t>
      </w:r>
    </w:p>
    <w:p w:rsidR="00447335" w:rsidRDefault="00447335" w:rsidP="00447335">
      <w:pPr>
        <w:spacing w:after="200"/>
        <w:contextualSpacing/>
        <w:rPr>
          <w:rFonts w:eastAsiaTheme="minorHAnsi"/>
          <w:sz w:val="28"/>
          <w:szCs w:val="28"/>
        </w:rPr>
      </w:pPr>
    </w:p>
    <w:p w:rsidR="00447335" w:rsidRDefault="00723E56" w:rsidP="00447335">
      <w:pPr>
        <w:spacing w:after="200"/>
        <w:contextualSpacing/>
        <w:rPr>
          <w:rFonts w:eastAsiaTheme="minorHAnsi"/>
          <w:sz w:val="28"/>
          <w:szCs w:val="28"/>
        </w:rPr>
      </w:pPr>
      <w:r w:rsidRPr="00447335">
        <w:rPr>
          <w:rFonts w:eastAsiaTheme="minorHAnsi"/>
          <w:sz w:val="28"/>
          <w:szCs w:val="28"/>
        </w:rPr>
        <w:t xml:space="preserve">For pre-emergence herbicides to work, the product has to be applied evenly across the turf, since most products (and their active ingredients) move very little in lateral distance after being applied and then </w:t>
      </w:r>
      <w:r w:rsidR="00E02B8A">
        <w:rPr>
          <w:rFonts w:eastAsiaTheme="minorHAnsi"/>
          <w:sz w:val="28"/>
          <w:szCs w:val="28"/>
        </w:rPr>
        <w:t xml:space="preserve">being </w:t>
      </w:r>
      <w:r w:rsidRPr="00447335">
        <w:rPr>
          <w:rFonts w:eastAsiaTheme="minorHAnsi"/>
          <w:sz w:val="28"/>
          <w:szCs w:val="28"/>
        </w:rPr>
        <w:t xml:space="preserve">“irrigated in”.  Right after the actual application, the amount of time that is allowed to expire before the product is watered in can also be critical.  Certain active ingredient/formulation combinations must be watered in very soon after application, so they can bind to the soil before the active ingredient gets lost to sunlight, or to the air itself.  </w:t>
      </w:r>
    </w:p>
    <w:p w:rsidR="00723E56" w:rsidRPr="00447335" w:rsidRDefault="00723E56" w:rsidP="00447335">
      <w:pPr>
        <w:spacing w:after="200"/>
        <w:contextualSpacing/>
        <w:rPr>
          <w:rFonts w:eastAsiaTheme="minorHAnsi"/>
          <w:sz w:val="28"/>
          <w:szCs w:val="28"/>
        </w:rPr>
      </w:pPr>
      <w:r w:rsidRPr="00447335">
        <w:rPr>
          <w:rFonts w:eastAsiaTheme="minorHAnsi"/>
          <w:sz w:val="28"/>
          <w:szCs w:val="28"/>
        </w:rPr>
        <w:t xml:space="preserve"> </w:t>
      </w:r>
    </w:p>
    <w:p w:rsidR="00723E56" w:rsidRDefault="00723E56" w:rsidP="00447335">
      <w:pPr>
        <w:spacing w:after="200"/>
        <w:contextualSpacing/>
        <w:rPr>
          <w:rFonts w:eastAsiaTheme="minorHAnsi"/>
          <w:sz w:val="28"/>
          <w:szCs w:val="28"/>
        </w:rPr>
      </w:pPr>
      <w:r w:rsidRPr="00447335">
        <w:rPr>
          <w:rFonts w:eastAsiaTheme="minorHAnsi"/>
          <w:sz w:val="28"/>
          <w:szCs w:val="28"/>
        </w:rPr>
        <w:t xml:space="preserve">On the product label are written recommendations that address the “watering window”, which is the time span that irrigation (or rainfall) is necessary after </w:t>
      </w:r>
      <w:r w:rsidRPr="00447335">
        <w:rPr>
          <w:rFonts w:eastAsiaTheme="minorHAnsi"/>
          <w:sz w:val="28"/>
          <w:szCs w:val="28"/>
        </w:rPr>
        <w:lastRenderedPageBreak/>
        <w:t xml:space="preserve">application is made to avoid such losses.  After that, if rain or irrigation does not occur, weed control will be minimized. </w:t>
      </w:r>
      <w:r w:rsidR="00447335">
        <w:rPr>
          <w:rFonts w:eastAsiaTheme="minorHAnsi"/>
          <w:sz w:val="28"/>
          <w:szCs w:val="28"/>
        </w:rPr>
        <w:t xml:space="preserve"> </w:t>
      </w:r>
      <w:r w:rsidRPr="00447335">
        <w:rPr>
          <w:rFonts w:eastAsiaTheme="minorHAnsi"/>
          <w:sz w:val="28"/>
          <w:szCs w:val="28"/>
        </w:rPr>
        <w:t xml:space="preserve">Active ingredients that can stay “dry” for 21 days or so after application include surflan (oryzalin) and the “aqua-cap” </w:t>
      </w:r>
      <w:r w:rsidR="00E02B8A" w:rsidRPr="00447335">
        <w:rPr>
          <w:rFonts w:eastAsiaTheme="minorHAnsi"/>
          <w:sz w:val="28"/>
          <w:szCs w:val="28"/>
        </w:rPr>
        <w:t>formulation</w:t>
      </w:r>
      <w:r w:rsidR="00E02B8A">
        <w:rPr>
          <w:rFonts w:eastAsiaTheme="minorHAnsi"/>
          <w:sz w:val="28"/>
          <w:szCs w:val="28"/>
        </w:rPr>
        <w:t xml:space="preserve"> </w:t>
      </w:r>
      <w:r w:rsidR="00E02B8A" w:rsidRPr="00447335">
        <w:rPr>
          <w:rFonts w:eastAsiaTheme="minorHAnsi"/>
          <w:sz w:val="28"/>
          <w:szCs w:val="28"/>
        </w:rPr>
        <w:t xml:space="preserve">of </w:t>
      </w:r>
      <w:r w:rsidR="00E02B8A">
        <w:rPr>
          <w:rFonts w:eastAsiaTheme="minorHAnsi"/>
          <w:sz w:val="28"/>
          <w:szCs w:val="28"/>
        </w:rPr>
        <w:t>pendimethalin</w:t>
      </w:r>
      <w:r w:rsidRPr="00447335">
        <w:rPr>
          <w:rFonts w:eastAsiaTheme="minorHAnsi"/>
          <w:sz w:val="28"/>
          <w:szCs w:val="28"/>
        </w:rPr>
        <w:t xml:space="preserve">.  </w:t>
      </w:r>
    </w:p>
    <w:p w:rsidR="00447335" w:rsidRPr="00447335" w:rsidRDefault="00447335" w:rsidP="00447335">
      <w:pPr>
        <w:spacing w:after="200"/>
        <w:contextualSpacing/>
        <w:rPr>
          <w:rFonts w:eastAsiaTheme="minorHAnsi"/>
          <w:color w:val="FF0000"/>
          <w:sz w:val="28"/>
          <w:szCs w:val="28"/>
        </w:rPr>
      </w:pPr>
    </w:p>
    <w:p w:rsidR="00447335" w:rsidRDefault="00723E56" w:rsidP="00447335">
      <w:pPr>
        <w:spacing w:after="200"/>
        <w:contextualSpacing/>
        <w:rPr>
          <w:rFonts w:eastAsiaTheme="minorHAnsi"/>
          <w:sz w:val="28"/>
          <w:szCs w:val="28"/>
        </w:rPr>
      </w:pPr>
      <w:r w:rsidRPr="00447335">
        <w:rPr>
          <w:rFonts w:eastAsiaTheme="minorHAnsi"/>
          <w:sz w:val="28"/>
          <w:szCs w:val="28"/>
        </w:rPr>
        <w:t xml:space="preserve">There are several active ingredients which are often sold under a variety of product names, since different product names are aligned with different unique sellers.   </w:t>
      </w:r>
    </w:p>
    <w:p w:rsidR="00447335" w:rsidRDefault="00447335" w:rsidP="00447335">
      <w:pPr>
        <w:spacing w:after="200"/>
        <w:contextualSpacing/>
        <w:rPr>
          <w:rFonts w:eastAsiaTheme="minorHAnsi"/>
          <w:sz w:val="28"/>
          <w:szCs w:val="28"/>
        </w:rPr>
      </w:pPr>
    </w:p>
    <w:p w:rsidR="00723E56" w:rsidRPr="00447335" w:rsidRDefault="00723E56" w:rsidP="00447335">
      <w:pPr>
        <w:spacing w:after="200"/>
        <w:contextualSpacing/>
        <w:rPr>
          <w:rFonts w:eastAsiaTheme="minorHAnsi"/>
          <w:sz w:val="28"/>
          <w:szCs w:val="28"/>
        </w:rPr>
      </w:pPr>
      <w:r w:rsidRPr="00447335">
        <w:rPr>
          <w:rFonts w:eastAsiaTheme="minorHAnsi"/>
          <w:sz w:val="28"/>
          <w:szCs w:val="28"/>
        </w:rPr>
        <w:t>Common active ingredients</w:t>
      </w:r>
      <w:r w:rsidR="00E02B8A">
        <w:rPr>
          <w:rFonts w:eastAsiaTheme="minorHAnsi"/>
          <w:sz w:val="28"/>
          <w:szCs w:val="28"/>
        </w:rPr>
        <w:t xml:space="preserve"> of pre-emergence herbicides </w:t>
      </w:r>
      <w:proofErr w:type="gramStart"/>
      <w:r w:rsidR="00E02B8A">
        <w:rPr>
          <w:rFonts w:eastAsiaTheme="minorHAnsi"/>
          <w:sz w:val="28"/>
          <w:szCs w:val="28"/>
        </w:rPr>
        <w:t xml:space="preserve">often </w:t>
      </w:r>
      <w:r w:rsidRPr="00447335">
        <w:rPr>
          <w:rFonts w:eastAsiaTheme="minorHAnsi"/>
          <w:sz w:val="28"/>
          <w:szCs w:val="28"/>
        </w:rPr>
        <w:t xml:space="preserve"> include</w:t>
      </w:r>
      <w:proofErr w:type="gramEnd"/>
      <w:r w:rsidRPr="00447335">
        <w:rPr>
          <w:rFonts w:eastAsiaTheme="minorHAnsi"/>
          <w:sz w:val="28"/>
          <w:szCs w:val="28"/>
        </w:rPr>
        <w:t xml:space="preserve"> the following: </w:t>
      </w:r>
    </w:p>
    <w:p w:rsidR="00723E56" w:rsidRPr="00447335" w:rsidRDefault="00723E56" w:rsidP="00447335">
      <w:pPr>
        <w:numPr>
          <w:ilvl w:val="0"/>
          <w:numId w:val="1"/>
        </w:numPr>
        <w:spacing w:after="200"/>
        <w:contextualSpacing/>
        <w:rPr>
          <w:rFonts w:eastAsiaTheme="minorHAnsi"/>
          <w:sz w:val="28"/>
          <w:szCs w:val="28"/>
        </w:rPr>
      </w:pPr>
      <w:proofErr w:type="spellStart"/>
      <w:r w:rsidRPr="00447335">
        <w:rPr>
          <w:rFonts w:eastAsiaTheme="minorHAnsi"/>
          <w:sz w:val="28"/>
          <w:szCs w:val="28"/>
        </w:rPr>
        <w:t>Treflan</w:t>
      </w:r>
      <w:proofErr w:type="spellEnd"/>
    </w:p>
    <w:p w:rsidR="00723E56" w:rsidRPr="00447335" w:rsidRDefault="00723E56" w:rsidP="00447335">
      <w:pPr>
        <w:numPr>
          <w:ilvl w:val="0"/>
          <w:numId w:val="1"/>
        </w:numPr>
        <w:spacing w:after="200"/>
        <w:contextualSpacing/>
        <w:rPr>
          <w:rFonts w:eastAsiaTheme="minorHAnsi"/>
          <w:sz w:val="28"/>
          <w:szCs w:val="28"/>
        </w:rPr>
      </w:pPr>
      <w:proofErr w:type="spellStart"/>
      <w:r w:rsidRPr="00447335">
        <w:rPr>
          <w:rFonts w:eastAsiaTheme="minorHAnsi"/>
          <w:sz w:val="28"/>
          <w:szCs w:val="28"/>
        </w:rPr>
        <w:t>Baylan</w:t>
      </w:r>
      <w:proofErr w:type="spellEnd"/>
    </w:p>
    <w:p w:rsidR="00723E56" w:rsidRPr="00447335" w:rsidRDefault="00723E56" w:rsidP="00447335">
      <w:pPr>
        <w:numPr>
          <w:ilvl w:val="0"/>
          <w:numId w:val="1"/>
        </w:numPr>
        <w:spacing w:after="200"/>
        <w:contextualSpacing/>
        <w:rPr>
          <w:rFonts w:eastAsiaTheme="minorHAnsi"/>
          <w:sz w:val="28"/>
          <w:szCs w:val="28"/>
        </w:rPr>
      </w:pPr>
      <w:proofErr w:type="spellStart"/>
      <w:r w:rsidRPr="00447335">
        <w:rPr>
          <w:rFonts w:eastAsiaTheme="minorHAnsi"/>
          <w:sz w:val="28"/>
          <w:szCs w:val="28"/>
        </w:rPr>
        <w:t>Dithiopyr</w:t>
      </w:r>
      <w:proofErr w:type="spellEnd"/>
    </w:p>
    <w:p w:rsidR="00723E56" w:rsidRPr="00447335" w:rsidRDefault="00723E56" w:rsidP="00447335">
      <w:pPr>
        <w:numPr>
          <w:ilvl w:val="0"/>
          <w:numId w:val="1"/>
        </w:numPr>
        <w:spacing w:after="200"/>
        <w:contextualSpacing/>
        <w:rPr>
          <w:rFonts w:eastAsiaTheme="minorHAnsi"/>
          <w:sz w:val="28"/>
          <w:szCs w:val="28"/>
        </w:rPr>
      </w:pPr>
      <w:r w:rsidRPr="00447335">
        <w:rPr>
          <w:rFonts w:eastAsiaTheme="minorHAnsi"/>
          <w:sz w:val="28"/>
          <w:szCs w:val="28"/>
        </w:rPr>
        <w:t>Pendimethalin</w:t>
      </w:r>
    </w:p>
    <w:p w:rsidR="00723E56" w:rsidRPr="00447335" w:rsidRDefault="00723E56" w:rsidP="00447335">
      <w:pPr>
        <w:numPr>
          <w:ilvl w:val="0"/>
          <w:numId w:val="1"/>
        </w:numPr>
        <w:spacing w:after="200"/>
        <w:contextualSpacing/>
        <w:rPr>
          <w:rFonts w:eastAsiaTheme="minorHAnsi"/>
          <w:sz w:val="28"/>
          <w:szCs w:val="28"/>
        </w:rPr>
      </w:pPr>
      <w:proofErr w:type="spellStart"/>
      <w:r w:rsidRPr="00447335">
        <w:rPr>
          <w:rFonts w:eastAsiaTheme="minorHAnsi"/>
          <w:sz w:val="28"/>
          <w:szCs w:val="28"/>
        </w:rPr>
        <w:t>Prodiamine</w:t>
      </w:r>
      <w:proofErr w:type="spellEnd"/>
    </w:p>
    <w:p w:rsidR="00447335" w:rsidRDefault="00723E56" w:rsidP="00447335">
      <w:pPr>
        <w:numPr>
          <w:ilvl w:val="0"/>
          <w:numId w:val="1"/>
        </w:numPr>
        <w:spacing w:after="200"/>
        <w:contextualSpacing/>
        <w:rPr>
          <w:rFonts w:eastAsiaTheme="minorHAnsi"/>
          <w:sz w:val="28"/>
          <w:szCs w:val="28"/>
        </w:rPr>
      </w:pPr>
      <w:r w:rsidRPr="00447335">
        <w:rPr>
          <w:rFonts w:eastAsiaTheme="minorHAnsi"/>
          <w:sz w:val="28"/>
          <w:szCs w:val="28"/>
        </w:rPr>
        <w:t>Surflan,</w:t>
      </w:r>
    </w:p>
    <w:p w:rsidR="00723E56" w:rsidRPr="00447335" w:rsidRDefault="00447335" w:rsidP="00447335">
      <w:pPr>
        <w:pStyle w:val="ListParagraph"/>
        <w:numPr>
          <w:ilvl w:val="0"/>
          <w:numId w:val="2"/>
        </w:numPr>
        <w:spacing w:after="200"/>
        <w:rPr>
          <w:rFonts w:eastAsiaTheme="minorHAnsi"/>
          <w:sz w:val="28"/>
          <w:szCs w:val="28"/>
        </w:rPr>
      </w:pPr>
      <w:r>
        <w:rPr>
          <w:rFonts w:eastAsiaTheme="minorHAnsi"/>
          <w:sz w:val="28"/>
          <w:szCs w:val="28"/>
        </w:rPr>
        <w:t xml:space="preserve">- </w:t>
      </w:r>
      <w:r w:rsidR="00723E56" w:rsidRPr="00447335">
        <w:rPr>
          <w:rFonts w:eastAsiaTheme="minorHAnsi"/>
          <w:sz w:val="28"/>
          <w:szCs w:val="28"/>
        </w:rPr>
        <w:t xml:space="preserve"> </w:t>
      </w:r>
      <w:proofErr w:type="gramStart"/>
      <w:r w:rsidR="00723E56" w:rsidRPr="00447335">
        <w:rPr>
          <w:rFonts w:eastAsiaTheme="minorHAnsi"/>
          <w:sz w:val="28"/>
          <w:szCs w:val="28"/>
        </w:rPr>
        <w:t>and</w:t>
      </w:r>
      <w:proofErr w:type="gramEnd"/>
      <w:r w:rsidR="00723E56" w:rsidRPr="00447335">
        <w:rPr>
          <w:rFonts w:eastAsiaTheme="minorHAnsi"/>
          <w:sz w:val="28"/>
          <w:szCs w:val="28"/>
        </w:rPr>
        <w:t xml:space="preserve"> to a lesser extent, the</w:t>
      </w:r>
      <w:r w:rsidRPr="00447335">
        <w:rPr>
          <w:rFonts w:eastAsiaTheme="minorHAnsi"/>
          <w:sz w:val="28"/>
          <w:szCs w:val="28"/>
        </w:rPr>
        <w:t>re</w:t>
      </w:r>
      <w:r w:rsidR="00723E56" w:rsidRPr="00447335">
        <w:rPr>
          <w:rFonts w:eastAsiaTheme="minorHAnsi"/>
          <w:sz w:val="28"/>
          <w:szCs w:val="28"/>
        </w:rPr>
        <w:t xml:space="preserve"> </w:t>
      </w:r>
      <w:r w:rsidRPr="00447335">
        <w:rPr>
          <w:rFonts w:eastAsiaTheme="minorHAnsi"/>
          <w:sz w:val="28"/>
          <w:szCs w:val="28"/>
        </w:rPr>
        <w:t xml:space="preserve">are also </w:t>
      </w:r>
      <w:r w:rsidR="00E02B8A">
        <w:rPr>
          <w:rFonts w:eastAsiaTheme="minorHAnsi"/>
          <w:sz w:val="28"/>
          <w:szCs w:val="28"/>
        </w:rPr>
        <w:t xml:space="preserve">the </w:t>
      </w:r>
      <w:r w:rsidRPr="00447335">
        <w:rPr>
          <w:rFonts w:eastAsiaTheme="minorHAnsi"/>
          <w:sz w:val="28"/>
          <w:szCs w:val="28"/>
        </w:rPr>
        <w:t xml:space="preserve">less common </w:t>
      </w:r>
      <w:r w:rsidR="00723E56" w:rsidRPr="00447335">
        <w:rPr>
          <w:rFonts w:eastAsiaTheme="minorHAnsi"/>
          <w:sz w:val="28"/>
          <w:szCs w:val="28"/>
        </w:rPr>
        <w:t>active ingredients of</w:t>
      </w:r>
      <w:r w:rsidRPr="00447335">
        <w:rPr>
          <w:rFonts w:eastAsiaTheme="minorHAnsi"/>
          <w:sz w:val="28"/>
          <w:szCs w:val="28"/>
        </w:rPr>
        <w:t xml:space="preserve"> th</w:t>
      </w:r>
      <w:r>
        <w:rPr>
          <w:rFonts w:eastAsiaTheme="minorHAnsi"/>
          <w:sz w:val="28"/>
          <w:szCs w:val="28"/>
        </w:rPr>
        <w:t xml:space="preserve">ose listed below.  </w:t>
      </w:r>
    </w:p>
    <w:p w:rsidR="00723E56" w:rsidRPr="00447335" w:rsidRDefault="00723E56" w:rsidP="00447335">
      <w:pPr>
        <w:numPr>
          <w:ilvl w:val="0"/>
          <w:numId w:val="1"/>
        </w:numPr>
        <w:spacing w:after="200"/>
        <w:contextualSpacing/>
        <w:rPr>
          <w:rFonts w:eastAsiaTheme="minorHAnsi"/>
          <w:sz w:val="28"/>
          <w:szCs w:val="28"/>
        </w:rPr>
      </w:pPr>
      <w:proofErr w:type="spellStart"/>
      <w:r w:rsidRPr="00447335">
        <w:rPr>
          <w:rFonts w:eastAsiaTheme="minorHAnsi"/>
          <w:sz w:val="28"/>
          <w:szCs w:val="28"/>
        </w:rPr>
        <w:t>Oxidazinon</w:t>
      </w:r>
      <w:proofErr w:type="spellEnd"/>
    </w:p>
    <w:p w:rsidR="00723E56" w:rsidRPr="00447335" w:rsidRDefault="00723E56" w:rsidP="00447335">
      <w:pPr>
        <w:numPr>
          <w:ilvl w:val="0"/>
          <w:numId w:val="1"/>
        </w:numPr>
        <w:spacing w:after="200"/>
        <w:contextualSpacing/>
        <w:rPr>
          <w:rFonts w:eastAsiaTheme="minorHAnsi"/>
          <w:sz w:val="28"/>
          <w:szCs w:val="28"/>
        </w:rPr>
      </w:pPr>
      <w:proofErr w:type="spellStart"/>
      <w:r w:rsidRPr="00447335">
        <w:rPr>
          <w:rFonts w:eastAsiaTheme="minorHAnsi"/>
          <w:sz w:val="28"/>
          <w:szCs w:val="28"/>
        </w:rPr>
        <w:t>Isoxaben</w:t>
      </w:r>
      <w:proofErr w:type="spellEnd"/>
    </w:p>
    <w:p w:rsidR="00723E56" w:rsidRPr="00447335" w:rsidRDefault="00723E56" w:rsidP="00447335">
      <w:pPr>
        <w:numPr>
          <w:ilvl w:val="0"/>
          <w:numId w:val="1"/>
        </w:numPr>
        <w:spacing w:after="200"/>
        <w:contextualSpacing/>
        <w:rPr>
          <w:rFonts w:eastAsiaTheme="minorHAnsi"/>
          <w:sz w:val="28"/>
          <w:szCs w:val="28"/>
        </w:rPr>
      </w:pPr>
      <w:proofErr w:type="spellStart"/>
      <w:r w:rsidRPr="00447335">
        <w:rPr>
          <w:rFonts w:eastAsiaTheme="minorHAnsi"/>
          <w:sz w:val="28"/>
          <w:szCs w:val="28"/>
        </w:rPr>
        <w:t>Mesotrione</w:t>
      </w:r>
      <w:proofErr w:type="spellEnd"/>
    </w:p>
    <w:p w:rsidR="00723E56" w:rsidRPr="00447335" w:rsidRDefault="00723E56" w:rsidP="00447335">
      <w:pPr>
        <w:spacing w:after="200"/>
        <w:ind w:left="720"/>
        <w:contextualSpacing/>
        <w:rPr>
          <w:rFonts w:eastAsiaTheme="minorHAnsi"/>
          <w:sz w:val="28"/>
          <w:szCs w:val="28"/>
        </w:rPr>
      </w:pPr>
    </w:p>
    <w:p w:rsidR="00723E56" w:rsidRPr="00447335" w:rsidRDefault="00723E56" w:rsidP="00447335">
      <w:pPr>
        <w:spacing w:after="200"/>
        <w:contextualSpacing/>
        <w:rPr>
          <w:rFonts w:eastAsiaTheme="minorHAnsi"/>
          <w:sz w:val="28"/>
          <w:szCs w:val="28"/>
        </w:rPr>
      </w:pPr>
      <w:r w:rsidRPr="00447335">
        <w:rPr>
          <w:rFonts w:eastAsiaTheme="minorHAnsi"/>
          <w:sz w:val="28"/>
          <w:szCs w:val="28"/>
        </w:rPr>
        <w:t xml:space="preserve">Summer annual </w:t>
      </w:r>
      <w:r w:rsidR="00447335">
        <w:rPr>
          <w:rFonts w:eastAsiaTheme="minorHAnsi"/>
          <w:sz w:val="28"/>
          <w:szCs w:val="28"/>
        </w:rPr>
        <w:t xml:space="preserve">grassy weeds include (at low desert </w:t>
      </w:r>
      <w:r w:rsidR="00E02B8A">
        <w:rPr>
          <w:rFonts w:eastAsiaTheme="minorHAnsi"/>
          <w:sz w:val="28"/>
          <w:szCs w:val="28"/>
        </w:rPr>
        <w:t>l</w:t>
      </w:r>
      <w:r w:rsidRPr="00447335">
        <w:rPr>
          <w:rFonts w:eastAsiaTheme="minorHAnsi"/>
          <w:sz w:val="28"/>
          <w:szCs w:val="28"/>
        </w:rPr>
        <w:t xml:space="preserve">ocations) southwest </w:t>
      </w:r>
      <w:proofErr w:type="spellStart"/>
      <w:r w:rsidRPr="00447335">
        <w:rPr>
          <w:rFonts w:eastAsiaTheme="minorHAnsi"/>
          <w:sz w:val="28"/>
          <w:szCs w:val="28"/>
        </w:rPr>
        <w:t>cupgrass</w:t>
      </w:r>
      <w:proofErr w:type="spellEnd"/>
      <w:r w:rsidRPr="00447335">
        <w:rPr>
          <w:rFonts w:eastAsiaTheme="minorHAnsi"/>
          <w:sz w:val="28"/>
          <w:szCs w:val="28"/>
        </w:rPr>
        <w:t xml:space="preserve">, </w:t>
      </w:r>
      <w:proofErr w:type="spellStart"/>
      <w:r w:rsidRPr="00447335">
        <w:rPr>
          <w:rFonts w:eastAsiaTheme="minorHAnsi"/>
          <w:sz w:val="28"/>
          <w:szCs w:val="28"/>
        </w:rPr>
        <w:t>liverseed</w:t>
      </w:r>
      <w:proofErr w:type="spellEnd"/>
      <w:r w:rsidRPr="00447335">
        <w:rPr>
          <w:rFonts w:eastAsiaTheme="minorHAnsi"/>
          <w:sz w:val="28"/>
          <w:szCs w:val="28"/>
        </w:rPr>
        <w:t xml:space="preserve"> grass, stink grass, and sometimes crabgrass.  At higher elevations like Prescott and Phoenix, crabgrass is a major summer annual grass weed. The above </w:t>
      </w:r>
      <w:r w:rsidR="00E02B8A">
        <w:rPr>
          <w:rFonts w:eastAsiaTheme="minorHAnsi"/>
          <w:sz w:val="28"/>
          <w:szCs w:val="28"/>
        </w:rPr>
        <w:t xml:space="preserve">active ingredients </w:t>
      </w:r>
      <w:r w:rsidRPr="00447335">
        <w:rPr>
          <w:rFonts w:eastAsiaTheme="minorHAnsi"/>
          <w:sz w:val="28"/>
          <w:szCs w:val="28"/>
        </w:rPr>
        <w:t>are predominately active against grassy weeds</w:t>
      </w:r>
      <w:r w:rsidR="00447335">
        <w:rPr>
          <w:rFonts w:eastAsiaTheme="minorHAnsi"/>
          <w:sz w:val="28"/>
          <w:szCs w:val="28"/>
        </w:rPr>
        <w:t>.  For some active ingredients,</w:t>
      </w:r>
      <w:r w:rsidRPr="00447335">
        <w:rPr>
          <w:rFonts w:eastAsiaTheme="minorHAnsi"/>
          <w:sz w:val="28"/>
          <w:szCs w:val="28"/>
        </w:rPr>
        <w:t xml:space="preserve"> there is some</w:t>
      </w:r>
      <w:r w:rsidR="00E02B8A">
        <w:rPr>
          <w:rFonts w:eastAsiaTheme="minorHAnsi"/>
          <w:sz w:val="28"/>
          <w:szCs w:val="28"/>
        </w:rPr>
        <w:t xml:space="preserve"> </w:t>
      </w:r>
      <w:r w:rsidRPr="00447335">
        <w:rPr>
          <w:rFonts w:eastAsiaTheme="minorHAnsi"/>
          <w:sz w:val="28"/>
          <w:szCs w:val="28"/>
        </w:rPr>
        <w:t xml:space="preserve">pre-emerge activity against the annual summer spurges, which are </w:t>
      </w:r>
      <w:r w:rsidR="00E02B8A">
        <w:rPr>
          <w:rFonts w:eastAsiaTheme="minorHAnsi"/>
          <w:sz w:val="28"/>
          <w:szCs w:val="28"/>
        </w:rPr>
        <w:t xml:space="preserve">actually </w:t>
      </w:r>
      <w:r w:rsidRPr="00447335">
        <w:rPr>
          <w:rFonts w:eastAsiaTheme="minorHAnsi"/>
          <w:sz w:val="28"/>
          <w:szCs w:val="28"/>
        </w:rPr>
        <w:t xml:space="preserve">summer broadleaf weeds. This is usually achieved when the high label rate is applied, and when followed by a second follow up application (when allowed as stated on the label). The active ingredient </w:t>
      </w:r>
      <w:proofErr w:type="spellStart"/>
      <w:r w:rsidRPr="00447335">
        <w:rPr>
          <w:rFonts w:eastAsiaTheme="minorHAnsi"/>
          <w:sz w:val="28"/>
          <w:szCs w:val="28"/>
        </w:rPr>
        <w:t>isoxaben</w:t>
      </w:r>
      <w:proofErr w:type="spellEnd"/>
      <w:r w:rsidRPr="00447335">
        <w:rPr>
          <w:rFonts w:eastAsiaTheme="minorHAnsi"/>
          <w:sz w:val="28"/>
          <w:szCs w:val="28"/>
        </w:rPr>
        <w:t xml:space="preserve">, is very active against broadleaf weed seeds, and as such may be included as an active ingredient addition in some weed control mix products. Some active ingredients may also have post emergence activity as well. This may be possible when the newly emerged weeds are young and small.   Such information is </w:t>
      </w:r>
      <w:r w:rsidR="00E02B8A">
        <w:rPr>
          <w:rFonts w:eastAsiaTheme="minorHAnsi"/>
          <w:sz w:val="28"/>
          <w:szCs w:val="28"/>
        </w:rPr>
        <w:t xml:space="preserve">also </w:t>
      </w:r>
      <w:r w:rsidRPr="00447335">
        <w:rPr>
          <w:rFonts w:eastAsiaTheme="minorHAnsi"/>
          <w:sz w:val="28"/>
          <w:szCs w:val="28"/>
        </w:rPr>
        <w:t>included on the label.</w:t>
      </w:r>
    </w:p>
    <w:p w:rsidR="00723E56" w:rsidRPr="00447335" w:rsidRDefault="00723E56" w:rsidP="00447335">
      <w:pPr>
        <w:spacing w:after="200"/>
        <w:contextualSpacing/>
        <w:rPr>
          <w:rFonts w:eastAsiaTheme="minorHAnsi"/>
          <w:sz w:val="28"/>
          <w:szCs w:val="28"/>
        </w:rPr>
      </w:pPr>
    </w:p>
    <w:p w:rsidR="00723E56" w:rsidRDefault="00723E56" w:rsidP="00447335">
      <w:pPr>
        <w:spacing w:after="200"/>
        <w:contextualSpacing/>
        <w:rPr>
          <w:rFonts w:eastAsiaTheme="minorHAnsi"/>
          <w:sz w:val="28"/>
          <w:szCs w:val="28"/>
        </w:rPr>
      </w:pPr>
      <w:r w:rsidRPr="00447335">
        <w:rPr>
          <w:rFonts w:eastAsiaTheme="minorHAnsi"/>
          <w:sz w:val="28"/>
          <w:szCs w:val="28"/>
        </w:rPr>
        <w:t xml:space="preserve">Pre-emergence weed control products are applied when the soil temperature is around 50-55 F or so. Normally, pre-emergence herbicides should applied by the </w:t>
      </w:r>
      <w:r w:rsidRPr="00447335">
        <w:rPr>
          <w:rFonts w:eastAsiaTheme="minorHAnsi"/>
          <w:sz w:val="28"/>
          <w:szCs w:val="28"/>
        </w:rPr>
        <w:lastRenderedPageBreak/>
        <w:t xml:space="preserve">end of February/early March in Tucson and Phoenix, and by early to mid-February in Yuma. Likewise, this </w:t>
      </w:r>
      <w:r w:rsidR="00447335">
        <w:rPr>
          <w:rFonts w:eastAsiaTheme="minorHAnsi"/>
          <w:sz w:val="28"/>
          <w:szCs w:val="28"/>
        </w:rPr>
        <w:t xml:space="preserve">time </w:t>
      </w:r>
      <w:r w:rsidRPr="00447335">
        <w:rPr>
          <w:rFonts w:eastAsiaTheme="minorHAnsi"/>
          <w:sz w:val="28"/>
          <w:szCs w:val="28"/>
        </w:rPr>
        <w:t xml:space="preserve">occurs in mid-May in Flagstaff. Soil temperatures can be found at the following web site </w:t>
      </w:r>
      <w:r w:rsidRPr="00954135">
        <w:rPr>
          <w:rFonts w:eastAsiaTheme="minorHAnsi"/>
          <w:sz w:val="28"/>
          <w:szCs w:val="28"/>
        </w:rPr>
        <w:t xml:space="preserve">http://cals.arizona.edu/AZMET/.   </w:t>
      </w:r>
      <w:r w:rsidRPr="00447335">
        <w:rPr>
          <w:rFonts w:eastAsiaTheme="minorHAnsi"/>
          <w:sz w:val="28"/>
          <w:szCs w:val="28"/>
        </w:rPr>
        <w:t>Click on the [Data Archive] box, then pick the “location” in question, then select “weekly reports”.   Soil temps at 2.0 inches are listed in columns headed as Soil</w:t>
      </w:r>
      <w:r w:rsidR="00954135">
        <w:rPr>
          <w:rFonts w:eastAsiaTheme="minorHAnsi"/>
          <w:sz w:val="28"/>
          <w:szCs w:val="28"/>
        </w:rPr>
        <w:t xml:space="preserve"> Temp at 2” inches, or as “ST2”, depending on file type.</w:t>
      </w:r>
      <w:r w:rsidRPr="00447335">
        <w:rPr>
          <w:rFonts w:eastAsiaTheme="minorHAnsi"/>
          <w:sz w:val="28"/>
          <w:szCs w:val="28"/>
        </w:rPr>
        <w:t xml:space="preserve">  </w:t>
      </w:r>
    </w:p>
    <w:p w:rsidR="00447335" w:rsidRPr="00447335" w:rsidRDefault="00447335" w:rsidP="00447335">
      <w:pPr>
        <w:spacing w:after="200"/>
        <w:contextualSpacing/>
        <w:rPr>
          <w:rFonts w:eastAsiaTheme="minorHAnsi"/>
          <w:sz w:val="28"/>
          <w:szCs w:val="28"/>
        </w:rPr>
      </w:pPr>
    </w:p>
    <w:p w:rsidR="00723E56" w:rsidRDefault="00723E56" w:rsidP="00447335">
      <w:pPr>
        <w:spacing w:after="200"/>
        <w:contextualSpacing/>
        <w:rPr>
          <w:rFonts w:eastAsiaTheme="minorHAnsi"/>
          <w:sz w:val="28"/>
          <w:szCs w:val="28"/>
        </w:rPr>
      </w:pPr>
      <w:r w:rsidRPr="00447335">
        <w:rPr>
          <w:rFonts w:eastAsiaTheme="minorHAnsi"/>
          <w:sz w:val="28"/>
          <w:szCs w:val="28"/>
        </w:rPr>
        <w:t>When shopping at garden centers, notice that that the “product name” may not always portray a reasonable resemblance to the type of intended use for the product.  In other words, the name of the weed control product may or may not be indicative of what the application is intended for.  As an example  “ weed preventer “ infers logically that it “prevents weeds from coming up and is probably a pre-emergence herbicide,  while “weed stopper” sound</w:t>
      </w:r>
      <w:r w:rsidR="00954135">
        <w:rPr>
          <w:rFonts w:eastAsiaTheme="minorHAnsi"/>
          <w:sz w:val="28"/>
          <w:szCs w:val="28"/>
        </w:rPr>
        <w:t>s</w:t>
      </w:r>
      <w:r w:rsidRPr="00447335">
        <w:rPr>
          <w:rFonts w:eastAsiaTheme="minorHAnsi"/>
          <w:sz w:val="28"/>
          <w:szCs w:val="28"/>
        </w:rPr>
        <w:t xml:space="preserve">  like it may stop weeds from coming out of the ground,  (pre-emerge) , or also </w:t>
      </w:r>
      <w:r w:rsidR="00954135">
        <w:rPr>
          <w:rFonts w:eastAsiaTheme="minorHAnsi"/>
          <w:sz w:val="28"/>
          <w:szCs w:val="28"/>
        </w:rPr>
        <w:t xml:space="preserve">it may be </w:t>
      </w:r>
      <w:r w:rsidRPr="00447335">
        <w:rPr>
          <w:rFonts w:eastAsiaTheme="minorHAnsi"/>
          <w:sz w:val="28"/>
          <w:szCs w:val="28"/>
        </w:rPr>
        <w:t>a post emergent product.  In fact “weed stopper” is a pre-</w:t>
      </w:r>
      <w:proofErr w:type="gramStart"/>
      <w:r w:rsidRPr="00447335">
        <w:rPr>
          <w:rFonts w:eastAsiaTheme="minorHAnsi"/>
          <w:sz w:val="28"/>
          <w:szCs w:val="28"/>
        </w:rPr>
        <w:t>emergent  product</w:t>
      </w:r>
      <w:proofErr w:type="gramEnd"/>
      <w:r w:rsidRPr="00447335">
        <w:rPr>
          <w:rFonts w:eastAsiaTheme="minorHAnsi"/>
          <w:sz w:val="28"/>
          <w:szCs w:val="28"/>
        </w:rPr>
        <w:t xml:space="preserve"> with the active ingredient of </w:t>
      </w:r>
      <w:proofErr w:type="spellStart"/>
      <w:r w:rsidRPr="00447335">
        <w:rPr>
          <w:rFonts w:eastAsiaTheme="minorHAnsi"/>
          <w:sz w:val="28"/>
          <w:szCs w:val="28"/>
        </w:rPr>
        <w:t>trifluralin</w:t>
      </w:r>
      <w:proofErr w:type="spellEnd"/>
      <w:r w:rsidRPr="00447335">
        <w:rPr>
          <w:rFonts w:eastAsiaTheme="minorHAnsi"/>
          <w:sz w:val="28"/>
          <w:szCs w:val="28"/>
        </w:rPr>
        <w:t xml:space="preserve"> (</w:t>
      </w:r>
      <w:proofErr w:type="spellStart"/>
      <w:r w:rsidRPr="00447335">
        <w:rPr>
          <w:rFonts w:eastAsiaTheme="minorHAnsi"/>
          <w:sz w:val="28"/>
          <w:szCs w:val="28"/>
        </w:rPr>
        <w:t>treflan</w:t>
      </w:r>
      <w:proofErr w:type="spellEnd"/>
      <w:r w:rsidRPr="00447335">
        <w:rPr>
          <w:rFonts w:eastAsiaTheme="minorHAnsi"/>
          <w:sz w:val="28"/>
          <w:szCs w:val="28"/>
        </w:rPr>
        <w:t xml:space="preserve">). </w:t>
      </w:r>
    </w:p>
    <w:p w:rsidR="00447335" w:rsidRPr="00447335" w:rsidRDefault="00447335" w:rsidP="00447335">
      <w:pPr>
        <w:spacing w:after="200"/>
        <w:contextualSpacing/>
        <w:rPr>
          <w:rFonts w:eastAsiaTheme="minorHAnsi"/>
          <w:sz w:val="28"/>
          <w:szCs w:val="28"/>
        </w:rPr>
      </w:pPr>
    </w:p>
    <w:p w:rsidR="00723E56" w:rsidRPr="00447335" w:rsidRDefault="00723E56" w:rsidP="00447335">
      <w:pPr>
        <w:spacing w:after="200"/>
        <w:contextualSpacing/>
        <w:rPr>
          <w:rFonts w:eastAsiaTheme="minorHAnsi"/>
          <w:sz w:val="28"/>
          <w:szCs w:val="28"/>
        </w:rPr>
      </w:pPr>
      <w:r w:rsidRPr="00447335">
        <w:rPr>
          <w:rFonts w:eastAsiaTheme="minorHAnsi"/>
          <w:sz w:val="28"/>
          <w:szCs w:val="28"/>
        </w:rPr>
        <w:t>Some pre-</w:t>
      </w:r>
      <w:proofErr w:type="gramStart"/>
      <w:r w:rsidRPr="00447335">
        <w:rPr>
          <w:rFonts w:eastAsiaTheme="minorHAnsi"/>
          <w:sz w:val="28"/>
          <w:szCs w:val="28"/>
        </w:rPr>
        <w:t>emergence  herbicides</w:t>
      </w:r>
      <w:proofErr w:type="gramEnd"/>
      <w:r w:rsidRPr="00447335">
        <w:rPr>
          <w:rFonts w:eastAsiaTheme="minorHAnsi"/>
          <w:sz w:val="28"/>
          <w:szCs w:val="28"/>
        </w:rPr>
        <w:t xml:space="preserve">  are also formulated with the active ingredient attached to a granular fertilizer. This can offer some convenience since a fertilizer application can be made when applying suitable pre-emergence weed control agent. These types of products are often referred to as “weed and feed” products.</w:t>
      </w:r>
    </w:p>
    <w:p w:rsidR="00723E56" w:rsidRDefault="00723E56" w:rsidP="00447335">
      <w:pPr>
        <w:spacing w:after="200"/>
        <w:contextualSpacing/>
        <w:rPr>
          <w:rFonts w:eastAsiaTheme="minorHAnsi"/>
          <w:sz w:val="28"/>
          <w:szCs w:val="28"/>
        </w:rPr>
      </w:pPr>
      <w:r w:rsidRPr="00447335">
        <w:rPr>
          <w:rFonts w:eastAsiaTheme="minorHAnsi"/>
          <w:sz w:val="28"/>
          <w:szCs w:val="28"/>
        </w:rPr>
        <w:t xml:space="preserve">There are other active ingredients used in turfgrass pre-emergence weed control, but they are not labeled for homeowner purchase/use (not included here).  These are known as </w:t>
      </w:r>
      <w:r w:rsidRPr="00FE67AC">
        <w:rPr>
          <w:rFonts w:eastAsiaTheme="minorHAnsi"/>
          <w:i/>
          <w:sz w:val="28"/>
          <w:szCs w:val="28"/>
        </w:rPr>
        <w:t>restricted use products</w:t>
      </w:r>
      <w:r w:rsidRPr="00447335">
        <w:rPr>
          <w:rFonts w:eastAsiaTheme="minorHAnsi"/>
          <w:sz w:val="28"/>
          <w:szCs w:val="28"/>
        </w:rPr>
        <w:t xml:space="preserve">, and must be applied by a certified applicator.   Note that some active ingredients available to homeowners may not be sold at box stores or even at local nurseries, but may still be available at landscape product dealerships, often in a concentrated form and greater purchase expense, even though the cost per unit of active ingredient in this case is always cheaper than the “ready to use” or “easy to use” (minimal dilution) products sold at garden center and box stores.  The purchase depends on how large the lawn is, how many times the product will be used and overall convenience.  Also, note that pre-emergence weed control products are also available to the public on web sites, which sometimes offer more active ingredient mixes than what is normally available at hard commerce purchase locations.   </w:t>
      </w:r>
    </w:p>
    <w:p w:rsidR="00E61498" w:rsidRDefault="00E61498" w:rsidP="00447335">
      <w:pPr>
        <w:spacing w:after="200"/>
        <w:contextualSpacing/>
        <w:rPr>
          <w:rFonts w:eastAsiaTheme="minorHAnsi"/>
          <w:sz w:val="28"/>
          <w:szCs w:val="28"/>
        </w:rPr>
      </w:pPr>
    </w:p>
    <w:p w:rsidR="00BF1293" w:rsidRDefault="00447335" w:rsidP="00FE67AC">
      <w:pPr>
        <w:spacing w:after="200"/>
        <w:contextualSpacing/>
        <w:rPr>
          <w:rFonts w:eastAsiaTheme="minorHAnsi"/>
          <w:sz w:val="20"/>
          <w:szCs w:val="20"/>
        </w:rPr>
      </w:pPr>
      <w:r w:rsidRPr="00BF1293">
        <w:rPr>
          <w:rFonts w:eastAsiaTheme="minorHAnsi"/>
          <w:sz w:val="20"/>
          <w:szCs w:val="20"/>
        </w:rPr>
        <w:t xml:space="preserve">Active ingredients </w:t>
      </w:r>
      <w:r w:rsidR="00BF1293" w:rsidRPr="00BF1293">
        <w:rPr>
          <w:rFonts w:eastAsiaTheme="minorHAnsi"/>
          <w:sz w:val="20"/>
          <w:szCs w:val="20"/>
        </w:rPr>
        <w:t xml:space="preserve">and product references </w:t>
      </w:r>
      <w:r w:rsidRPr="00BF1293">
        <w:rPr>
          <w:rFonts w:eastAsiaTheme="minorHAnsi"/>
          <w:sz w:val="20"/>
          <w:szCs w:val="20"/>
        </w:rPr>
        <w:t>included are provided for technical/educational purposes and examples</w:t>
      </w:r>
      <w:r w:rsidR="00BF1293">
        <w:rPr>
          <w:rFonts w:eastAsiaTheme="minorHAnsi"/>
          <w:sz w:val="20"/>
          <w:szCs w:val="20"/>
        </w:rPr>
        <w:t xml:space="preserve"> only</w:t>
      </w:r>
      <w:r w:rsidRPr="00BF1293">
        <w:rPr>
          <w:rFonts w:eastAsiaTheme="minorHAnsi"/>
          <w:sz w:val="20"/>
          <w:szCs w:val="20"/>
        </w:rPr>
        <w:t>.</w:t>
      </w:r>
      <w:r w:rsidR="00BF1293">
        <w:rPr>
          <w:rFonts w:eastAsiaTheme="minorHAnsi"/>
          <w:sz w:val="20"/>
          <w:szCs w:val="20"/>
        </w:rPr>
        <w:t xml:space="preserve"> </w:t>
      </w:r>
      <w:r w:rsidRPr="00BF1293">
        <w:rPr>
          <w:rFonts w:eastAsiaTheme="minorHAnsi"/>
          <w:sz w:val="20"/>
          <w:szCs w:val="20"/>
        </w:rPr>
        <w:t xml:space="preserve"> No recommendations or exclusions are intended</w:t>
      </w:r>
      <w:r w:rsidR="00E61498" w:rsidRPr="00BF1293">
        <w:rPr>
          <w:rFonts w:eastAsiaTheme="minorHAnsi"/>
          <w:sz w:val="20"/>
          <w:szCs w:val="20"/>
        </w:rPr>
        <w:t>,</w:t>
      </w:r>
      <w:r w:rsidRPr="00BF1293">
        <w:rPr>
          <w:rFonts w:eastAsiaTheme="minorHAnsi"/>
          <w:sz w:val="20"/>
          <w:szCs w:val="20"/>
        </w:rPr>
        <w:t xml:space="preserve"> or implied</w:t>
      </w:r>
      <w:r w:rsidR="00BF1293">
        <w:rPr>
          <w:rFonts w:eastAsiaTheme="minorHAnsi"/>
          <w:sz w:val="20"/>
          <w:szCs w:val="20"/>
        </w:rPr>
        <w:t>.</w:t>
      </w:r>
    </w:p>
    <w:p w:rsidR="001B7047" w:rsidRPr="00BF1293" w:rsidRDefault="00447335" w:rsidP="00FE67AC">
      <w:pPr>
        <w:spacing w:after="200"/>
        <w:contextualSpacing/>
        <w:rPr>
          <w:sz w:val="20"/>
          <w:szCs w:val="20"/>
        </w:rPr>
      </w:pPr>
      <w:r w:rsidRPr="00BF1293">
        <w:rPr>
          <w:rFonts w:eastAsiaTheme="minorHAnsi"/>
          <w:sz w:val="20"/>
          <w:szCs w:val="20"/>
        </w:rPr>
        <w:t xml:space="preserve">. </w:t>
      </w:r>
      <w:r w:rsidR="00E35955" w:rsidRPr="00BF1293">
        <w:rPr>
          <w:sz w:val="20"/>
          <w:szCs w:val="20"/>
        </w:rPr>
        <w:t xml:space="preserve"> </w:t>
      </w:r>
    </w:p>
    <w:p w:rsidR="001B7047" w:rsidRDefault="001B7047">
      <w:r w:rsidRPr="001B7047">
        <w:rPr>
          <w:noProof/>
          <w:color w:val="000000"/>
          <w:sz w:val="16"/>
          <w:szCs w:val="16"/>
        </w:rPr>
        <mc:AlternateContent>
          <mc:Choice Requires="wps">
            <w:drawing>
              <wp:anchor distT="0" distB="0" distL="114300" distR="114300" simplePos="0" relativeHeight="251660288" behindDoc="0" locked="0" layoutInCell="1" allowOverlap="1" wp14:anchorId="7DF4B7A3" wp14:editId="3035E772">
                <wp:simplePos x="0" y="0"/>
                <wp:positionH relativeFrom="column">
                  <wp:align>center</wp:align>
                </wp:positionH>
                <wp:positionV relativeFrom="paragraph">
                  <wp:posOffset>0</wp:posOffset>
                </wp:positionV>
                <wp:extent cx="7038975" cy="1403985"/>
                <wp:effectExtent l="0" t="0" r="2857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03985"/>
                        </a:xfrm>
                        <a:prstGeom prst="rect">
                          <a:avLst/>
                        </a:prstGeom>
                        <a:solidFill>
                          <a:srgbClr val="FFFFFF"/>
                        </a:solidFill>
                        <a:ln w="9525">
                          <a:solidFill>
                            <a:srgbClr val="000000"/>
                          </a:solidFill>
                          <a:miter lim="800000"/>
                          <a:headEnd/>
                          <a:tailEnd/>
                        </a:ln>
                      </wps:spPr>
                      <wps:txbx>
                        <w:txbxContent>
                          <w:p w:rsidR="001B7047" w:rsidRPr="001B7047" w:rsidRDefault="001B7047" w:rsidP="001B7047">
                            <w:pPr>
                              <w:rPr>
                                <w:color w:val="000000"/>
                                <w:sz w:val="16"/>
                                <w:szCs w:val="16"/>
                              </w:rPr>
                            </w:pPr>
                            <w:r w:rsidRPr="001B7047">
                              <w:rPr>
                                <w:color w:val="000000"/>
                                <w:sz w:val="16"/>
                                <w:szCs w:val="16"/>
                              </w:rPr>
                              <w:t xml:space="preserve">“Issued in furtherance of Cooperative Extension work, acts of May 8 and June 30, 1914, in cooperation with the U.S. Department of Agriculture, Jeffrey C. Silvertooth, Cooperative Extension, College of Agriculture &amp; Life Sciences, </w:t>
                            </w:r>
                            <w:proofErr w:type="gramStart"/>
                            <w:r w:rsidRPr="001B7047">
                              <w:rPr>
                                <w:color w:val="000000"/>
                                <w:sz w:val="16"/>
                                <w:szCs w:val="16"/>
                              </w:rPr>
                              <w:t>The</w:t>
                            </w:r>
                            <w:proofErr w:type="gramEnd"/>
                            <w:r w:rsidRPr="001B7047">
                              <w:rPr>
                                <w:color w:val="000000"/>
                                <w:sz w:val="16"/>
                                <w:szCs w:val="16"/>
                              </w:rPr>
                              <w:t xml:space="preserve"> University of Arizona.</w:t>
                            </w:r>
                          </w:p>
                          <w:p w:rsidR="001B7047" w:rsidRPr="001B7047" w:rsidRDefault="001B7047" w:rsidP="001B7047">
                            <w:pPr>
                              <w:rPr>
                                <w:color w:val="000000"/>
                                <w:sz w:val="16"/>
                                <w:szCs w:val="16"/>
                              </w:rPr>
                            </w:pPr>
                            <w:r w:rsidRPr="001B7047">
                              <w:rPr>
                                <w:color w:val="000000"/>
                                <w:sz w:val="16"/>
                                <w:szCs w:val="16"/>
                              </w:rPr>
                              <w:t> </w:t>
                            </w:r>
                          </w:p>
                          <w:p w:rsidR="001B7047" w:rsidRDefault="001B7047">
                            <w:r w:rsidRPr="001B7047">
                              <w:rPr>
                                <w:color w:val="000000"/>
                                <w:sz w:val="16"/>
                                <w:szCs w:val="16"/>
                              </w:rPr>
                              <w:t>The University of Arizona is an equal opportunity, affirmative action institution. The University does not discriminate on the basis of race, color, religion, sex, national origin, age, disability, veteran status, or sexual orientation in its programs and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54.25pt;height:110.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">
                <v:textbox style="mso-fit-shape-to-text:t">
                  <w:txbxContent>
                    <w:p w:rsidR="001B7047" w:rsidRPr="001B7047" w:rsidRDefault="001B7047" w:rsidP="001B7047">
                      <w:pPr>
                        <w:rPr>
                          <w:color w:val="000000"/>
                          <w:sz w:val="16"/>
                          <w:szCs w:val="16"/>
                        </w:rPr>
                      </w:pPr>
                      <w:r w:rsidRPr="001B7047">
                        <w:rPr>
                          <w:color w:val="000000"/>
                          <w:sz w:val="16"/>
                          <w:szCs w:val="16"/>
                        </w:rPr>
                        <w:t xml:space="preserve">“Issued in furtherance of Cooperative Extension work, acts of May 8 and June 30, 1914, in cooperation with the U.S. Department of Agriculture, Jeffrey C. Silvertooth, Cooperative Extension, College of Agriculture &amp; Life Sciences, </w:t>
                      </w:r>
                      <w:proofErr w:type="gramStart"/>
                      <w:r w:rsidRPr="001B7047">
                        <w:rPr>
                          <w:color w:val="000000"/>
                          <w:sz w:val="16"/>
                          <w:szCs w:val="16"/>
                        </w:rPr>
                        <w:t>The</w:t>
                      </w:r>
                      <w:proofErr w:type="gramEnd"/>
                      <w:r w:rsidRPr="001B7047">
                        <w:rPr>
                          <w:color w:val="000000"/>
                          <w:sz w:val="16"/>
                          <w:szCs w:val="16"/>
                        </w:rPr>
                        <w:t xml:space="preserve"> University of Arizona.</w:t>
                      </w:r>
                    </w:p>
                    <w:p w:rsidR="001B7047" w:rsidRPr="001B7047" w:rsidRDefault="001B7047" w:rsidP="001B7047">
                      <w:pPr>
                        <w:rPr>
                          <w:color w:val="000000"/>
                          <w:sz w:val="16"/>
                          <w:szCs w:val="16"/>
                        </w:rPr>
                      </w:pPr>
                      <w:r w:rsidRPr="001B7047">
                        <w:rPr>
                          <w:color w:val="000000"/>
                          <w:sz w:val="16"/>
                          <w:szCs w:val="16"/>
                        </w:rPr>
                        <w:t> </w:t>
                      </w:r>
                    </w:p>
                    <w:p w:rsidR="001B7047" w:rsidRDefault="001B7047">
                      <w:r w:rsidRPr="001B7047">
                        <w:rPr>
                          <w:color w:val="000000"/>
                          <w:sz w:val="16"/>
                          <w:szCs w:val="16"/>
                        </w:rPr>
                        <w:t>The University of Arizona is an equal opportunity, affirmative action institution. The University does not discriminate on the basis of race, color, religion, sex, national origin, age, disability, veteran status, or sexual orientation in its programs and activities”</w:t>
                      </w:r>
                    </w:p>
                  </w:txbxContent>
                </v:textbox>
              </v:shape>
            </w:pict>
          </mc:Fallback>
        </mc:AlternateContent>
      </w:r>
    </w:p>
    <w:sectPr w:rsidR="001B704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E81" w:rsidRDefault="00555E81" w:rsidP="00E35955">
      <w:r>
        <w:separator/>
      </w:r>
    </w:p>
  </w:endnote>
  <w:endnote w:type="continuationSeparator" w:id="0">
    <w:p w:rsidR="00555E81" w:rsidRDefault="00555E81" w:rsidP="00E3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414761"/>
      <w:docPartObj>
        <w:docPartGallery w:val="Page Numbers (Bottom of Page)"/>
        <w:docPartUnique/>
      </w:docPartObj>
    </w:sdtPr>
    <w:sdtEndPr>
      <w:rPr>
        <w:noProof/>
      </w:rPr>
    </w:sdtEndPr>
    <w:sdtContent>
      <w:p w:rsidR="00E35955" w:rsidRDefault="00E35955">
        <w:pPr>
          <w:pStyle w:val="Footer"/>
          <w:jc w:val="center"/>
        </w:pPr>
        <w:r>
          <w:fldChar w:fldCharType="begin"/>
        </w:r>
        <w:r>
          <w:instrText xml:space="preserve"> PAGE   \* MERGEFORMAT </w:instrText>
        </w:r>
        <w:r>
          <w:fldChar w:fldCharType="separate"/>
        </w:r>
        <w:r w:rsidR="00DC29F3">
          <w:rPr>
            <w:noProof/>
          </w:rPr>
          <w:t>1</w:t>
        </w:r>
        <w:r>
          <w:rPr>
            <w:noProof/>
          </w:rPr>
          <w:fldChar w:fldCharType="end"/>
        </w:r>
      </w:p>
    </w:sdtContent>
  </w:sdt>
  <w:p w:rsidR="00E35955" w:rsidRDefault="00E35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E81" w:rsidRDefault="00555E81" w:rsidP="00E35955">
      <w:r>
        <w:separator/>
      </w:r>
    </w:p>
  </w:footnote>
  <w:footnote w:type="continuationSeparator" w:id="0">
    <w:p w:rsidR="00555E81" w:rsidRDefault="00555E81" w:rsidP="00E35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6880"/>
    <w:multiLevelType w:val="hybridMultilevel"/>
    <w:tmpl w:val="A652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67767"/>
    <w:multiLevelType w:val="hybridMultilevel"/>
    <w:tmpl w:val="A8DCA6EE"/>
    <w:lvl w:ilvl="0" w:tplc="5EF42F3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47"/>
    <w:rsid w:val="00026D10"/>
    <w:rsid w:val="001B7047"/>
    <w:rsid w:val="003568FD"/>
    <w:rsid w:val="00447335"/>
    <w:rsid w:val="00555E81"/>
    <w:rsid w:val="00586E30"/>
    <w:rsid w:val="006717D6"/>
    <w:rsid w:val="00723E56"/>
    <w:rsid w:val="00954135"/>
    <w:rsid w:val="009824E3"/>
    <w:rsid w:val="00AE396B"/>
    <w:rsid w:val="00BF1293"/>
    <w:rsid w:val="00DA0E1D"/>
    <w:rsid w:val="00DC29F3"/>
    <w:rsid w:val="00E02B8A"/>
    <w:rsid w:val="00E35955"/>
    <w:rsid w:val="00E423DB"/>
    <w:rsid w:val="00E61498"/>
    <w:rsid w:val="00F55AC9"/>
    <w:rsid w:val="00FE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47"/>
    <w:rPr>
      <w:rFonts w:ascii="Tahoma" w:hAnsi="Tahoma" w:cs="Tahoma"/>
      <w:sz w:val="16"/>
      <w:szCs w:val="16"/>
    </w:rPr>
  </w:style>
  <w:style w:type="character" w:customStyle="1" w:styleId="BalloonTextChar">
    <w:name w:val="Balloon Text Char"/>
    <w:basedOn w:val="DefaultParagraphFont"/>
    <w:link w:val="BalloonText"/>
    <w:uiPriority w:val="99"/>
    <w:semiHidden/>
    <w:rsid w:val="001B7047"/>
    <w:rPr>
      <w:rFonts w:ascii="Tahoma" w:eastAsia="Times New Roman" w:hAnsi="Tahoma" w:cs="Tahoma"/>
      <w:sz w:val="16"/>
      <w:szCs w:val="16"/>
    </w:rPr>
  </w:style>
  <w:style w:type="character" w:styleId="Hyperlink">
    <w:name w:val="Hyperlink"/>
    <w:basedOn w:val="DefaultParagraphFont"/>
    <w:uiPriority w:val="99"/>
    <w:unhideWhenUsed/>
    <w:rsid w:val="00E35955"/>
    <w:rPr>
      <w:color w:val="0000FF" w:themeColor="hyperlink"/>
      <w:u w:val="single"/>
    </w:rPr>
  </w:style>
  <w:style w:type="paragraph" w:styleId="Header">
    <w:name w:val="header"/>
    <w:basedOn w:val="Normal"/>
    <w:link w:val="HeaderChar"/>
    <w:uiPriority w:val="99"/>
    <w:unhideWhenUsed/>
    <w:rsid w:val="00E35955"/>
    <w:pPr>
      <w:tabs>
        <w:tab w:val="center" w:pos="4680"/>
        <w:tab w:val="right" w:pos="9360"/>
      </w:tabs>
    </w:pPr>
  </w:style>
  <w:style w:type="character" w:customStyle="1" w:styleId="HeaderChar">
    <w:name w:val="Header Char"/>
    <w:basedOn w:val="DefaultParagraphFont"/>
    <w:link w:val="Header"/>
    <w:uiPriority w:val="99"/>
    <w:rsid w:val="00E359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955"/>
    <w:pPr>
      <w:tabs>
        <w:tab w:val="center" w:pos="4680"/>
        <w:tab w:val="right" w:pos="9360"/>
      </w:tabs>
    </w:pPr>
  </w:style>
  <w:style w:type="character" w:customStyle="1" w:styleId="FooterChar">
    <w:name w:val="Footer Char"/>
    <w:basedOn w:val="DefaultParagraphFont"/>
    <w:link w:val="Footer"/>
    <w:uiPriority w:val="99"/>
    <w:rsid w:val="00E35955"/>
    <w:rPr>
      <w:rFonts w:ascii="Times New Roman" w:eastAsia="Times New Roman" w:hAnsi="Times New Roman" w:cs="Times New Roman"/>
      <w:sz w:val="24"/>
      <w:szCs w:val="24"/>
    </w:rPr>
  </w:style>
  <w:style w:type="paragraph" w:styleId="ListParagraph">
    <w:name w:val="List Paragraph"/>
    <w:basedOn w:val="Normal"/>
    <w:uiPriority w:val="34"/>
    <w:qFormat/>
    <w:rsid w:val="004473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47"/>
    <w:rPr>
      <w:rFonts w:ascii="Tahoma" w:hAnsi="Tahoma" w:cs="Tahoma"/>
      <w:sz w:val="16"/>
      <w:szCs w:val="16"/>
    </w:rPr>
  </w:style>
  <w:style w:type="character" w:customStyle="1" w:styleId="BalloonTextChar">
    <w:name w:val="Balloon Text Char"/>
    <w:basedOn w:val="DefaultParagraphFont"/>
    <w:link w:val="BalloonText"/>
    <w:uiPriority w:val="99"/>
    <w:semiHidden/>
    <w:rsid w:val="001B7047"/>
    <w:rPr>
      <w:rFonts w:ascii="Tahoma" w:eastAsia="Times New Roman" w:hAnsi="Tahoma" w:cs="Tahoma"/>
      <w:sz w:val="16"/>
      <w:szCs w:val="16"/>
    </w:rPr>
  </w:style>
  <w:style w:type="character" w:styleId="Hyperlink">
    <w:name w:val="Hyperlink"/>
    <w:basedOn w:val="DefaultParagraphFont"/>
    <w:uiPriority w:val="99"/>
    <w:unhideWhenUsed/>
    <w:rsid w:val="00E35955"/>
    <w:rPr>
      <w:color w:val="0000FF" w:themeColor="hyperlink"/>
      <w:u w:val="single"/>
    </w:rPr>
  </w:style>
  <w:style w:type="paragraph" w:styleId="Header">
    <w:name w:val="header"/>
    <w:basedOn w:val="Normal"/>
    <w:link w:val="HeaderChar"/>
    <w:uiPriority w:val="99"/>
    <w:unhideWhenUsed/>
    <w:rsid w:val="00E35955"/>
    <w:pPr>
      <w:tabs>
        <w:tab w:val="center" w:pos="4680"/>
        <w:tab w:val="right" w:pos="9360"/>
      </w:tabs>
    </w:pPr>
  </w:style>
  <w:style w:type="character" w:customStyle="1" w:styleId="HeaderChar">
    <w:name w:val="Header Char"/>
    <w:basedOn w:val="DefaultParagraphFont"/>
    <w:link w:val="Header"/>
    <w:uiPriority w:val="99"/>
    <w:rsid w:val="00E359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955"/>
    <w:pPr>
      <w:tabs>
        <w:tab w:val="center" w:pos="4680"/>
        <w:tab w:val="right" w:pos="9360"/>
      </w:tabs>
    </w:pPr>
  </w:style>
  <w:style w:type="character" w:customStyle="1" w:styleId="FooterChar">
    <w:name w:val="Footer Char"/>
    <w:basedOn w:val="DefaultParagraphFont"/>
    <w:link w:val="Footer"/>
    <w:uiPriority w:val="99"/>
    <w:rsid w:val="00E35955"/>
    <w:rPr>
      <w:rFonts w:ascii="Times New Roman" w:eastAsia="Times New Roman" w:hAnsi="Times New Roman" w:cs="Times New Roman"/>
      <w:sz w:val="24"/>
      <w:szCs w:val="24"/>
    </w:rPr>
  </w:style>
  <w:style w:type="paragraph" w:styleId="ListParagraph">
    <w:name w:val="List Paragraph"/>
    <w:basedOn w:val="Normal"/>
    <w:uiPriority w:val="34"/>
    <w:qFormat/>
    <w:rsid w:val="00447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urf.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dc:creator>
  <cp:lastModifiedBy>Kopec</cp:lastModifiedBy>
  <cp:revision>9</cp:revision>
  <dcterms:created xsi:type="dcterms:W3CDTF">2015-03-01T21:03:00Z</dcterms:created>
  <dcterms:modified xsi:type="dcterms:W3CDTF">2015-03-01T21:46:00Z</dcterms:modified>
</cp:coreProperties>
</file>