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C8CA" w14:textId="77777777" w:rsidR="0059721A" w:rsidRDefault="00AE1556" w:rsidP="00A02B46">
      <w:pPr>
        <w:spacing w:after="0"/>
        <w:rPr>
          <w:rFonts w:cstheme="minorHAnsi"/>
          <w:b/>
          <w:sz w:val="24"/>
          <w:szCs w:val="24"/>
        </w:rPr>
      </w:pPr>
      <w:r w:rsidRPr="00A02B46">
        <w:rPr>
          <w:rFonts w:cstheme="minorHAnsi"/>
          <w:b/>
          <w:sz w:val="24"/>
          <w:szCs w:val="24"/>
        </w:rPr>
        <w:t xml:space="preserve">Math Placement </w:t>
      </w:r>
      <w:r w:rsidR="00A02B46" w:rsidRPr="00A02B46">
        <w:rPr>
          <w:rFonts w:cstheme="minorHAnsi"/>
          <w:b/>
          <w:sz w:val="24"/>
          <w:szCs w:val="24"/>
        </w:rPr>
        <w:t xml:space="preserve">and S4S </w:t>
      </w:r>
      <w:r w:rsidRPr="00A02B46">
        <w:rPr>
          <w:rFonts w:cstheme="minorHAnsi"/>
          <w:b/>
          <w:sz w:val="24"/>
          <w:szCs w:val="24"/>
        </w:rPr>
        <w:t>Updates</w:t>
      </w:r>
      <w:r w:rsidR="001B170B" w:rsidRPr="00A02B46">
        <w:rPr>
          <w:rFonts w:cstheme="minorHAnsi"/>
          <w:b/>
          <w:sz w:val="24"/>
          <w:szCs w:val="24"/>
        </w:rPr>
        <w:t xml:space="preserve"> and Reminders</w:t>
      </w:r>
    </w:p>
    <w:p w14:paraId="0AC61E66" w14:textId="2B3BFE22" w:rsidR="00A02B46" w:rsidRDefault="00AE1556" w:rsidP="00A02B46">
      <w:pPr>
        <w:spacing w:after="0"/>
        <w:rPr>
          <w:rFonts w:cstheme="minorHAnsi"/>
          <w:sz w:val="24"/>
          <w:szCs w:val="24"/>
        </w:rPr>
      </w:pPr>
      <w:r w:rsidRPr="00A02B46">
        <w:rPr>
          <w:rFonts w:cstheme="minorHAnsi"/>
          <w:sz w:val="24"/>
          <w:szCs w:val="24"/>
        </w:rPr>
        <w:t xml:space="preserve">Tina </w:t>
      </w:r>
      <w:r w:rsidR="000E7209">
        <w:rPr>
          <w:rFonts w:cstheme="minorHAnsi"/>
          <w:sz w:val="24"/>
          <w:szCs w:val="24"/>
        </w:rPr>
        <w:t>Schuster</w:t>
      </w:r>
      <w:r w:rsidRPr="00A02B46">
        <w:rPr>
          <w:rFonts w:cstheme="minorHAnsi"/>
          <w:sz w:val="24"/>
          <w:szCs w:val="24"/>
        </w:rPr>
        <w:br/>
      </w:r>
      <w:hyperlink r:id="rId5" w:history="1">
        <w:r w:rsidRPr="00A02B46">
          <w:rPr>
            <w:rStyle w:val="Hyperlink"/>
            <w:rFonts w:cstheme="minorHAnsi"/>
            <w:sz w:val="24"/>
            <w:szCs w:val="24"/>
          </w:rPr>
          <w:t>cschustr@math.arizona.edu</w:t>
        </w:r>
      </w:hyperlink>
      <w:r w:rsidRPr="00A02B46">
        <w:rPr>
          <w:rFonts w:cstheme="minorHAnsi"/>
          <w:sz w:val="24"/>
          <w:szCs w:val="24"/>
        </w:rPr>
        <w:t xml:space="preserve"> (for you, when weird things happen)</w:t>
      </w:r>
      <w:r w:rsidRPr="00A02B46">
        <w:rPr>
          <w:rFonts w:cstheme="minorHAnsi"/>
          <w:sz w:val="24"/>
          <w:szCs w:val="24"/>
        </w:rPr>
        <w:br/>
      </w:r>
      <w:hyperlink r:id="rId6" w:history="1">
        <w:r w:rsidRPr="00A02B46">
          <w:rPr>
            <w:rStyle w:val="Hyperlink"/>
            <w:rFonts w:cstheme="minorHAnsi"/>
            <w:sz w:val="24"/>
            <w:szCs w:val="24"/>
          </w:rPr>
          <w:t>placement@math.arizona.edu</w:t>
        </w:r>
      </w:hyperlink>
      <w:r w:rsidRPr="00A02B46">
        <w:rPr>
          <w:rFonts w:cstheme="minorHAnsi"/>
          <w:sz w:val="24"/>
          <w:szCs w:val="24"/>
        </w:rPr>
        <w:t xml:space="preserve"> (for</w:t>
      </w:r>
      <w:r w:rsidR="00A02B46" w:rsidRPr="00A02B46">
        <w:rPr>
          <w:rFonts w:cstheme="minorHAnsi"/>
          <w:sz w:val="24"/>
          <w:szCs w:val="24"/>
        </w:rPr>
        <w:t xml:space="preserve"> student inquiries, </w:t>
      </w:r>
      <w:r w:rsidRPr="00A02B46">
        <w:rPr>
          <w:rFonts w:cstheme="minorHAnsi"/>
          <w:sz w:val="24"/>
          <w:szCs w:val="24"/>
        </w:rPr>
        <w:t xml:space="preserve"> student</w:t>
      </w:r>
      <w:r w:rsidR="00A02B46" w:rsidRPr="00A02B46">
        <w:rPr>
          <w:rFonts w:cstheme="minorHAnsi"/>
          <w:sz w:val="24"/>
          <w:szCs w:val="24"/>
        </w:rPr>
        <w:t>s</w:t>
      </w:r>
      <w:r w:rsidRPr="00A02B46">
        <w:rPr>
          <w:rFonts w:cstheme="minorHAnsi"/>
          <w:sz w:val="24"/>
          <w:szCs w:val="24"/>
        </w:rPr>
        <w:t>, general questions)</w:t>
      </w:r>
    </w:p>
    <w:p w14:paraId="25E0EF37" w14:textId="77777777" w:rsidR="00D3382B" w:rsidRDefault="00D3382B" w:rsidP="00A02B46">
      <w:pPr>
        <w:spacing w:after="0"/>
        <w:rPr>
          <w:rFonts w:cstheme="minorHAnsi"/>
          <w:sz w:val="24"/>
          <w:szCs w:val="24"/>
        </w:rPr>
      </w:pPr>
    </w:p>
    <w:p w14:paraId="0AC1B61C" w14:textId="74F100A4" w:rsidR="000E7209" w:rsidRDefault="000E7209" w:rsidP="00A02B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TEAMS: UA Advising &amp; Placement Support, Math Placement or General Math questions channel</w:t>
      </w:r>
    </w:p>
    <w:p w14:paraId="5CB29A4C" w14:textId="3973E23F" w:rsidR="000E7209" w:rsidRDefault="000E7209" w:rsidP="000E7209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quick questions while you are with a student</w:t>
      </w:r>
    </w:p>
    <w:p w14:paraId="2DBB58D0" w14:textId="05659666" w:rsidR="000E7209" w:rsidRDefault="000E7209" w:rsidP="000E7209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orientation, we will try to be “on call” from 1-4pm in Teams</w:t>
      </w:r>
    </w:p>
    <w:p w14:paraId="25478193" w14:textId="19B149A1" w:rsidR="00AA06C3" w:rsidRDefault="00AA06C3" w:rsidP="00AA06C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FAQS</w:t>
      </w:r>
    </w:p>
    <w:p w14:paraId="4E5EDBE1" w14:textId="27396784" w:rsidR="00AA06C3" w:rsidRPr="003D779C" w:rsidRDefault="003D779C" w:rsidP="00AA06C3">
      <w:pPr>
        <w:pStyle w:val="ListParagraph"/>
        <w:numPr>
          <w:ilvl w:val="0"/>
          <w:numId w:val="10"/>
        </w:numPr>
        <w:spacing w:after="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7" w:history="1">
        <w:r w:rsidR="00AA06C3" w:rsidRPr="003C6404">
          <w:rPr>
            <w:rStyle w:val="Hyperlink"/>
            <w:rFonts w:cstheme="minorHAnsi"/>
            <w:sz w:val="24"/>
            <w:szCs w:val="24"/>
          </w:rPr>
          <w:t>For students or general questions</w:t>
        </w:r>
      </w:hyperlink>
    </w:p>
    <w:p w14:paraId="6044EFDE" w14:textId="5EE888AD" w:rsidR="003D779C" w:rsidRPr="003D779C" w:rsidRDefault="003D779C" w:rsidP="003D779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Transfer info:  Check Next Steps Center or </w:t>
      </w:r>
      <w:hyperlink r:id="rId8" w:history="1">
        <w:r w:rsidRPr="00C153D2">
          <w:rPr>
            <w:rStyle w:val="Hyperlink"/>
            <w:rFonts w:cstheme="minorHAnsi"/>
            <w:sz w:val="24"/>
            <w:szCs w:val="24"/>
          </w:rPr>
          <w:t>https://www.math.arizona.edu/academics/placement/credits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20D190EE" w14:textId="77777777" w:rsidR="00D3382B" w:rsidRDefault="003D779C" w:rsidP="00D3382B">
      <w:pPr>
        <w:spacing w:after="0"/>
        <w:jc w:val="both"/>
        <w:rPr>
          <w:rFonts w:cstheme="minorHAnsi"/>
          <w:sz w:val="24"/>
          <w:szCs w:val="24"/>
        </w:rPr>
      </w:pPr>
      <w:r>
        <w:fldChar w:fldCharType="begin"/>
      </w:r>
      <w:r>
        <w:instrText xml:space="preserve"> HYPERLINK "https://nextsteps.arizona.edu/nextsteps" </w:instrText>
      </w:r>
      <w:r>
        <w:fldChar w:fldCharType="separate"/>
      </w:r>
      <w:r w:rsidR="00D3382B" w:rsidRPr="00D3382B">
        <w:rPr>
          <w:rStyle w:val="Hyperlink"/>
          <w:rFonts w:cstheme="minorHAnsi"/>
          <w:sz w:val="24"/>
          <w:szCs w:val="24"/>
        </w:rPr>
        <w:t>Next Steps Center proxy</w:t>
      </w:r>
      <w:r>
        <w:rPr>
          <w:rStyle w:val="Hyperlink"/>
          <w:rFonts w:cstheme="minorHAnsi"/>
          <w:sz w:val="24"/>
          <w:szCs w:val="24"/>
        </w:rPr>
        <w:fldChar w:fldCharType="end"/>
      </w:r>
    </w:p>
    <w:p w14:paraId="0EA083D0" w14:textId="7029329A" w:rsidR="00D3382B" w:rsidRDefault="00D3382B" w:rsidP="00D3382B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incoming first year students, they can submit tr credit/AP etc. info through links in their NSC.</w:t>
      </w:r>
    </w:p>
    <w:p w14:paraId="4F892DC0" w14:textId="731260D8" w:rsidR="00A02B46" w:rsidRPr="001B28B3" w:rsidRDefault="00D3382B" w:rsidP="00AE1556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student thinks they placed higher, or placed out of S4S, you can verify this through their NSC message. </w:t>
      </w:r>
    </w:p>
    <w:p w14:paraId="5CAD0314" w14:textId="4A8B1B1D" w:rsidR="00A02B46" w:rsidRDefault="00A02B46" w:rsidP="00A02B46">
      <w:p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750B81">
        <w:rPr>
          <w:rStyle w:val="Hyperlink"/>
          <w:rFonts w:cstheme="minorHAnsi"/>
          <w:b/>
          <w:color w:val="auto"/>
          <w:sz w:val="24"/>
          <w:szCs w:val="24"/>
          <w:u w:val="none"/>
        </w:rPr>
        <w:t>Schedule for Success:</w:t>
      </w:r>
      <w:r w:rsidRPr="00A02B4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9" w:history="1">
        <w:r w:rsidRPr="00A02B46">
          <w:rPr>
            <w:rStyle w:val="Hyperlink"/>
            <w:rFonts w:cstheme="minorHAnsi"/>
            <w:color w:val="auto"/>
            <w:sz w:val="24"/>
            <w:szCs w:val="24"/>
            <w:u w:val="none"/>
          </w:rPr>
          <w:t>scheduleforsuccess@email.arizona.edu</w:t>
        </w:r>
      </w:hyperlink>
      <w:r w:rsidR="0043022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hyperlink r:id="rId10" w:history="1">
        <w:r w:rsidRPr="00A02B46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https://thinktank.arizona.edu/schedule-for-success</w:t>
        </w:r>
      </w:hyperlink>
    </w:p>
    <w:p w14:paraId="559BFEC0" w14:textId="2DCCF16F" w:rsidR="00D3382B" w:rsidRDefault="00D3382B" w:rsidP="00A02B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TEAMS: UA Advising &amp; Placement Support, Schedule for Success</w:t>
      </w:r>
    </w:p>
    <w:p w14:paraId="2A5702F2" w14:textId="5B3EA699" w:rsidR="00D3382B" w:rsidRPr="00D3382B" w:rsidRDefault="00D3382B" w:rsidP="00D3382B">
      <w:pPr>
        <w:pStyle w:val="ListParagraph"/>
        <w:numPr>
          <w:ilvl w:val="0"/>
          <w:numId w:val="12"/>
        </w:num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Use this for Math 100/SAS 100AX drops and adds during orientation </w:t>
      </w:r>
    </w:p>
    <w:p w14:paraId="4E65C424" w14:textId="1F76BAA5" w:rsidR="00AA06C3" w:rsidRPr="003C6404" w:rsidRDefault="00AA06C3" w:rsidP="00430220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Non-first year students can add Math 100 through </w:t>
      </w:r>
      <w:proofErr w:type="spell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Uaccess</w:t>
      </w:r>
      <w:proofErr w:type="spell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now through May 6.  After May 6, they will need to contact </w:t>
      </w:r>
      <w:hyperlink r:id="rId11" w:history="1">
        <w:r w:rsidRPr="00644D38">
          <w:rPr>
            <w:rStyle w:val="Hyperlink"/>
            <w:rFonts w:eastAsia="Times New Roman" w:cstheme="minorHAnsi"/>
            <w:sz w:val="24"/>
            <w:szCs w:val="24"/>
          </w:rPr>
          <w:t>placement@math.arizona.edu</w:t>
        </w:r>
      </w:hyperlink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 </w:t>
      </w:r>
      <w:r w:rsidR="008341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to </w:t>
      </w:r>
      <w:proofErr w:type="gramStart"/>
      <w:r w:rsidR="008341FE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add 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 w:rsidR="003C640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Math</w:t>
      </w:r>
      <w:proofErr w:type="gramEnd"/>
      <w:r w:rsidR="003C640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100-173 if seats are </w:t>
      </w:r>
      <w:r w:rsidR="00D3382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open</w:t>
      </w:r>
      <w:r w:rsidR="003C640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 w:rsidR="003C6404" w:rsidRPr="003C640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(</w:t>
      </w:r>
      <w:r w:rsidR="003C6404" w:rsidRPr="003C6404">
        <w:rPr>
          <w:rFonts w:cstheme="minorHAnsi"/>
          <w:color w:val="333333"/>
          <w:sz w:val="17"/>
          <w:szCs w:val="17"/>
          <w:shd w:val="clear" w:color="auto" w:fill="FFFFFF"/>
        </w:rPr>
        <w:t>67674</w:t>
      </w:r>
      <w:r w:rsidR="003C6404" w:rsidRPr="003C6404">
        <w:rPr>
          <w:rFonts w:cstheme="minorHAnsi"/>
          <w:color w:val="333333"/>
          <w:sz w:val="24"/>
          <w:szCs w:val="24"/>
          <w:shd w:val="clear" w:color="auto" w:fill="FFFFFF"/>
        </w:rPr>
        <w:t>).   For Fall, these students are not in SAS 100AX due to capacity issues.</w:t>
      </w:r>
      <w:r w:rsidR="003C6404" w:rsidRPr="003C64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14:paraId="628A9365" w14:textId="08E49BEF" w:rsidR="00A02B46" w:rsidRPr="003C6404" w:rsidRDefault="00A02B46" w:rsidP="00430220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3C6404">
        <w:rPr>
          <w:rStyle w:val="Hyperlink"/>
          <w:rFonts w:cstheme="minorHAnsi"/>
          <w:b/>
          <w:color w:val="auto"/>
          <w:sz w:val="24"/>
          <w:szCs w:val="24"/>
          <w:u w:val="none"/>
        </w:rPr>
        <w:t>S4S:</w:t>
      </w:r>
      <w:r w:rsidRPr="003C640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No </w:t>
      </w:r>
      <w:proofErr w:type="spellStart"/>
      <w:r w:rsidRPr="003C6404">
        <w:rPr>
          <w:rStyle w:val="Hyperlink"/>
          <w:rFonts w:cstheme="minorHAnsi"/>
          <w:color w:val="auto"/>
          <w:sz w:val="24"/>
          <w:szCs w:val="24"/>
          <w:u w:val="none"/>
        </w:rPr>
        <w:t>cohorting</w:t>
      </w:r>
      <w:proofErr w:type="spellEnd"/>
      <w:r w:rsidRPr="003C640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by major</w:t>
      </w:r>
      <w:r w:rsidR="003C640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</w:p>
    <w:p w14:paraId="21B6BB2F" w14:textId="77777777" w:rsidR="0059721A" w:rsidRDefault="0059721A" w:rsidP="00AE1556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Students will be prescheduled, which means that some will need to be manually added after the schedule runs. </w:t>
      </w:r>
    </w:p>
    <w:p w14:paraId="15A4A980" w14:textId="6C33FE7C" w:rsidR="0059721A" w:rsidRPr="0059721A" w:rsidRDefault="0059721A" w:rsidP="00AE1556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Please allow at least ONE HOUR after the schedules run to request any adds to math or other courses, as we will be checking this.  </w:t>
      </w:r>
    </w:p>
    <w:p w14:paraId="7B2620AB" w14:textId="7873671D" w:rsidR="0059721A" w:rsidRPr="001B28B3" w:rsidRDefault="003C6404" w:rsidP="001B28B3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>New processes for dropping students who place out.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This will be checked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daily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and students will be contacted if they place out.  They will be told to check their Next Steps Center Math Placement message to see what course to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add, or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contact their advisor.  </w:t>
      </w:r>
    </w:p>
    <w:p w14:paraId="4FEDC456" w14:textId="756A9AD1" w:rsidR="00A02B46" w:rsidRDefault="00A02B46" w:rsidP="00AE1556">
      <w:pPr>
        <w:spacing w:after="0"/>
        <w:rPr>
          <w:rFonts w:cstheme="minorHAnsi"/>
          <w:b/>
          <w:sz w:val="24"/>
          <w:szCs w:val="24"/>
        </w:rPr>
      </w:pPr>
      <w:r w:rsidRPr="00A02B46">
        <w:rPr>
          <w:rFonts w:cstheme="minorHAnsi"/>
          <w:b/>
          <w:sz w:val="24"/>
          <w:szCs w:val="24"/>
        </w:rPr>
        <w:t xml:space="preserve">PPL Assessment </w:t>
      </w:r>
    </w:p>
    <w:p w14:paraId="28990999" w14:textId="5FDE1187" w:rsidR="00D3382B" w:rsidRDefault="00D3382B" w:rsidP="00313952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Scores are processed within 12 hours.</w:t>
      </w:r>
    </w:p>
    <w:p w14:paraId="4CCC24F2" w14:textId="09193F2B" w:rsidR="00430220" w:rsidRPr="00313952" w:rsidRDefault="00430220" w:rsidP="00313952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430220">
        <w:rPr>
          <w:rFonts w:cstheme="minorHAnsi"/>
          <w:sz w:val="24"/>
          <w:szCs w:val="24"/>
        </w:rPr>
        <w:t>Access in Next Steps Cen</w:t>
      </w:r>
      <w:r>
        <w:rPr>
          <w:rFonts w:cstheme="minorHAnsi"/>
          <w:sz w:val="24"/>
          <w:szCs w:val="24"/>
        </w:rPr>
        <w:t>ter</w:t>
      </w:r>
      <w:r w:rsidR="003C6404">
        <w:rPr>
          <w:rFonts w:cstheme="minorHAnsi"/>
          <w:sz w:val="24"/>
          <w:szCs w:val="24"/>
        </w:rPr>
        <w:t xml:space="preserve"> or </w:t>
      </w:r>
      <w:hyperlink r:id="rId12" w:history="1">
        <w:r w:rsidR="00D3382B" w:rsidRPr="00D3382B">
          <w:rPr>
            <w:rStyle w:val="Hyperlink"/>
            <w:rFonts w:cstheme="minorHAnsi"/>
            <w:sz w:val="24"/>
            <w:szCs w:val="24"/>
          </w:rPr>
          <w:t>here</w:t>
        </w:r>
      </w:hyperlink>
      <w:r w:rsidR="00D3382B">
        <w:rPr>
          <w:rFonts w:cstheme="minorHAnsi"/>
          <w:sz w:val="24"/>
          <w:szCs w:val="24"/>
        </w:rPr>
        <w:t xml:space="preserve"> </w:t>
      </w:r>
    </w:p>
    <w:p w14:paraId="4EB245FC" w14:textId="6E1725FD" w:rsidR="00430220" w:rsidRPr="00430220" w:rsidRDefault="00430220" w:rsidP="00430220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430220">
        <w:rPr>
          <w:rFonts w:cstheme="minorHAnsi"/>
          <w:sz w:val="24"/>
          <w:szCs w:val="24"/>
        </w:rPr>
        <w:t>Limited in-person testing by appointment in the Math Building room 101</w:t>
      </w:r>
      <w:r w:rsidR="00D3382B">
        <w:rPr>
          <w:rFonts w:cstheme="minorHAnsi"/>
          <w:sz w:val="24"/>
          <w:szCs w:val="24"/>
        </w:rPr>
        <w:t xml:space="preserve"> available through the PPL link above. </w:t>
      </w:r>
    </w:p>
    <w:p w14:paraId="236366E6" w14:textId="6D408040" w:rsidR="001B28B3" w:rsidRDefault="00430220" w:rsidP="00A02B46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430220">
        <w:rPr>
          <w:rFonts w:cstheme="minorHAnsi"/>
          <w:sz w:val="24"/>
          <w:szCs w:val="24"/>
        </w:rPr>
        <w:t xml:space="preserve">Contact </w:t>
      </w:r>
      <w:hyperlink r:id="rId13" w:history="1">
        <w:r w:rsidR="00D3382B" w:rsidRPr="00644D38">
          <w:rPr>
            <w:rStyle w:val="Hyperlink"/>
            <w:rFonts w:cstheme="minorHAnsi"/>
            <w:sz w:val="24"/>
            <w:szCs w:val="24"/>
          </w:rPr>
          <w:t>placement@math.arizona.edu</w:t>
        </w:r>
      </w:hyperlink>
      <w:r w:rsidRPr="00430220">
        <w:rPr>
          <w:rFonts w:cstheme="minorHAnsi"/>
          <w:sz w:val="24"/>
          <w:szCs w:val="24"/>
        </w:rPr>
        <w:t xml:space="preserve"> </w:t>
      </w:r>
    </w:p>
    <w:p w14:paraId="5E850EFC" w14:textId="65C84702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4F58F1CA" w14:textId="2240B8F6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28048265" w14:textId="500B2C0A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57A5632F" w14:textId="7EDADCF5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2D5BAFDF" w14:textId="3176C412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344CBA03" w14:textId="2B86E0AA" w:rsid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7065B6AB" w14:textId="091DA0F5" w:rsidR="00A57A18" w:rsidRDefault="00A57A18" w:rsidP="001B28B3">
      <w:pPr>
        <w:spacing w:after="0"/>
        <w:rPr>
          <w:rFonts w:cstheme="minorHAnsi"/>
          <w:sz w:val="24"/>
          <w:szCs w:val="24"/>
        </w:rPr>
      </w:pPr>
    </w:p>
    <w:p w14:paraId="50B47A98" w14:textId="77777777" w:rsidR="00A57A18" w:rsidRDefault="00A57A18" w:rsidP="001B28B3">
      <w:pPr>
        <w:spacing w:after="0"/>
        <w:rPr>
          <w:rFonts w:cstheme="minorHAnsi"/>
          <w:sz w:val="24"/>
          <w:szCs w:val="24"/>
        </w:rPr>
      </w:pPr>
    </w:p>
    <w:p w14:paraId="601D0D53" w14:textId="77777777" w:rsidR="001B28B3" w:rsidRP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232A4438" w14:textId="493B6777" w:rsidR="00A02B46" w:rsidRPr="00A02B46" w:rsidRDefault="00A02B46" w:rsidP="00A02B46">
      <w:pPr>
        <w:spacing w:after="0"/>
        <w:rPr>
          <w:rFonts w:cstheme="minorHAnsi"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Placement Test scores, Fall 202</w:t>
      </w:r>
      <w:r w:rsidR="00313952" w:rsidRPr="001B28B3">
        <w:rPr>
          <w:rFonts w:cstheme="minorHAnsi"/>
          <w:b/>
          <w:sz w:val="24"/>
          <w:szCs w:val="24"/>
        </w:rPr>
        <w:t>2</w:t>
      </w:r>
      <w:r w:rsidR="0059721A" w:rsidRPr="001B28B3">
        <w:rPr>
          <w:rFonts w:cstheme="minorHAnsi"/>
          <w:b/>
          <w:sz w:val="24"/>
          <w:szCs w:val="24"/>
        </w:rPr>
        <w:t xml:space="preserve"> (no </w:t>
      </w:r>
      <w:proofErr w:type="gramStart"/>
      <w:r w:rsidR="0059721A" w:rsidRPr="001B28B3">
        <w:rPr>
          <w:rFonts w:cstheme="minorHAnsi"/>
          <w:b/>
          <w:sz w:val="24"/>
          <w:szCs w:val="24"/>
        </w:rPr>
        <w:t xml:space="preserve">changes) </w:t>
      </w:r>
      <w:r w:rsidR="001B28B3">
        <w:rPr>
          <w:rFonts w:cstheme="minorHAnsi"/>
          <w:sz w:val="24"/>
          <w:szCs w:val="24"/>
        </w:rPr>
        <w:t xml:space="preserve"> </w:t>
      </w:r>
      <w:r w:rsidRPr="00A02B46">
        <w:rPr>
          <w:rFonts w:cstheme="minorHAnsi"/>
          <w:sz w:val="24"/>
          <w:szCs w:val="24"/>
        </w:rPr>
        <w:t>Scores</w:t>
      </w:r>
      <w:proofErr w:type="gramEnd"/>
      <w:r w:rsidRPr="00A02B46">
        <w:rPr>
          <w:rFonts w:cstheme="minorHAnsi"/>
          <w:sz w:val="24"/>
          <w:szCs w:val="24"/>
        </w:rPr>
        <w:t xml:space="preserve"> expire after 1 year</w:t>
      </w:r>
    </w:p>
    <w:p w14:paraId="22B3C5A8" w14:textId="2810312F" w:rsidR="00430220" w:rsidRDefault="00A02B46" w:rsidP="00A02B46">
      <w:pPr>
        <w:spacing w:after="0"/>
        <w:rPr>
          <w:rFonts w:cstheme="minorHAnsi"/>
          <w:sz w:val="24"/>
          <w:szCs w:val="24"/>
        </w:rPr>
      </w:pPr>
      <w:r w:rsidRPr="00A02B46">
        <w:rPr>
          <w:rFonts w:cstheme="minorHAnsi"/>
          <w:sz w:val="24"/>
          <w:szCs w:val="24"/>
        </w:rPr>
        <w:lastRenderedPageBreak/>
        <w:t>Note that there are two placement tests: PPL and MCLG</w:t>
      </w:r>
    </w:p>
    <w:p w14:paraId="7D0EF0C4" w14:textId="389EAF0D" w:rsidR="00B55CA2" w:rsidRPr="0059721A" w:rsidRDefault="0059721A" w:rsidP="00A02B46">
      <w:pPr>
        <w:spacing w:after="0"/>
        <w:rPr>
          <w:rFonts w:cstheme="minorHAnsi"/>
          <w:sz w:val="24"/>
          <w:szCs w:val="24"/>
        </w:rPr>
      </w:pPr>
      <w:r w:rsidRPr="0059721A">
        <w:rPr>
          <w:rFonts w:cstheme="minorHAnsi"/>
          <w:b/>
          <w:bCs/>
          <w:sz w:val="24"/>
          <w:szCs w:val="24"/>
        </w:rPr>
        <w:t>MPLF</w:t>
      </w:r>
      <w:r>
        <w:rPr>
          <w:rFonts w:cstheme="minorHAnsi"/>
          <w:sz w:val="24"/>
          <w:szCs w:val="24"/>
        </w:rPr>
        <w:t xml:space="preserve"> scores mimic SAT scores for placement for scores at or below 800.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56"/>
        <w:gridCol w:w="1724"/>
        <w:gridCol w:w="2104"/>
        <w:gridCol w:w="3006"/>
      </w:tblGrid>
      <w:tr w:rsidR="00A02B46" w:rsidRPr="00A02B46" w14:paraId="5AEB79EB" w14:textId="77777777" w:rsidTr="00A57A18">
        <w:tc>
          <w:tcPr>
            <w:tcW w:w="1833" w:type="pct"/>
          </w:tcPr>
          <w:p w14:paraId="65B28AE8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Eligible courses</w:t>
            </w:r>
          </w:p>
        </w:tc>
        <w:tc>
          <w:tcPr>
            <w:tcW w:w="799" w:type="pct"/>
          </w:tcPr>
          <w:p w14:paraId="0D87CE0F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ALEKS </w:t>
            </w:r>
            <w:proofErr w:type="gramStart"/>
            <w:r w:rsidRPr="001B28B3">
              <w:rPr>
                <w:rFonts w:cstheme="minorHAnsi"/>
                <w:sz w:val="24"/>
                <w:szCs w:val="24"/>
              </w:rPr>
              <w:t>PPL  (</w:t>
            </w:r>
            <w:proofErr w:type="gramEnd"/>
            <w:r w:rsidRPr="001B28B3">
              <w:rPr>
                <w:rFonts w:cstheme="minorHAnsi"/>
                <w:sz w:val="24"/>
                <w:szCs w:val="24"/>
              </w:rPr>
              <w:t>PPL1/PPLN)</w:t>
            </w:r>
          </w:p>
        </w:tc>
        <w:tc>
          <w:tcPr>
            <w:tcW w:w="975" w:type="pct"/>
          </w:tcPr>
          <w:p w14:paraId="2DF8DEE1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Math 100 </w:t>
            </w:r>
            <w:proofErr w:type="gramStart"/>
            <w:r w:rsidRPr="001B28B3">
              <w:rPr>
                <w:rFonts w:cstheme="minorHAnsi"/>
                <w:sz w:val="24"/>
                <w:szCs w:val="24"/>
              </w:rPr>
              <w:t>final,  MCLG</w:t>
            </w:r>
            <w:proofErr w:type="gramEnd"/>
          </w:p>
        </w:tc>
        <w:tc>
          <w:tcPr>
            <w:tcW w:w="1393" w:type="pct"/>
          </w:tcPr>
          <w:p w14:paraId="384D23F5" w14:textId="77777777" w:rsidR="0059721A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 w:rsidRPr="001B28B3">
              <w:rPr>
                <w:rFonts w:cstheme="minorHAnsi"/>
                <w:sz w:val="24"/>
                <w:szCs w:val="24"/>
              </w:rPr>
              <w:t>Min  SAT</w:t>
            </w:r>
            <w:proofErr w:type="gramEnd"/>
            <w:r w:rsidR="0059721A" w:rsidRPr="001B28B3">
              <w:rPr>
                <w:rFonts w:cstheme="minorHAnsi"/>
                <w:sz w:val="24"/>
                <w:szCs w:val="24"/>
              </w:rPr>
              <w:t>(MPLF)</w:t>
            </w:r>
            <w:r w:rsidRPr="001B28B3">
              <w:rPr>
                <w:rFonts w:cstheme="minorHAnsi"/>
                <w:sz w:val="24"/>
                <w:szCs w:val="24"/>
              </w:rPr>
              <w:t xml:space="preserve">/ACT  </w:t>
            </w:r>
            <w:proofErr w:type="spellStart"/>
            <w:r w:rsidRPr="001B28B3">
              <w:rPr>
                <w:rFonts w:cstheme="minorHAnsi"/>
                <w:sz w:val="24"/>
                <w:szCs w:val="24"/>
              </w:rPr>
              <w:t>fr</w:t>
            </w:r>
            <w:proofErr w:type="spellEnd"/>
            <w:r w:rsidRPr="001B28B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F8B37E1" w14:textId="38819761" w:rsidR="001B28B3" w:rsidRPr="001B28B3" w:rsidRDefault="001B28B3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8/1/2020-present</w:t>
            </w:r>
          </w:p>
        </w:tc>
      </w:tr>
      <w:tr w:rsidR="00A02B46" w:rsidRPr="00A02B46" w14:paraId="45D196D1" w14:textId="77777777" w:rsidTr="00A57A18">
        <w:trPr>
          <w:trHeight w:val="728"/>
        </w:trPr>
        <w:tc>
          <w:tcPr>
            <w:tcW w:w="1833" w:type="pct"/>
          </w:tcPr>
          <w:p w14:paraId="30C11C3D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100 and SAS 100AX</w:t>
            </w:r>
          </w:p>
        </w:tc>
        <w:tc>
          <w:tcPr>
            <w:tcW w:w="799" w:type="pct"/>
          </w:tcPr>
          <w:p w14:paraId="7B652FB1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0-39%</w:t>
            </w:r>
          </w:p>
          <w:p w14:paraId="73E389D7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*(0-29%)</w:t>
            </w:r>
          </w:p>
        </w:tc>
        <w:tc>
          <w:tcPr>
            <w:tcW w:w="975" w:type="pct"/>
          </w:tcPr>
          <w:p w14:paraId="7B2BF6B6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0-54%</w:t>
            </w:r>
          </w:p>
          <w:p w14:paraId="60A49CD3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*(0-39%)</w:t>
            </w:r>
          </w:p>
        </w:tc>
        <w:tc>
          <w:tcPr>
            <w:tcW w:w="1393" w:type="pct"/>
          </w:tcPr>
          <w:p w14:paraId="26213C78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Below 560 / Below 24</w:t>
            </w:r>
          </w:p>
          <w:p w14:paraId="64199E0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*(Below 530/21)</w:t>
            </w:r>
          </w:p>
        </w:tc>
      </w:tr>
      <w:tr w:rsidR="00A02B46" w:rsidRPr="00A02B46" w14:paraId="7588F4E0" w14:textId="77777777" w:rsidTr="00A57A18">
        <w:trPr>
          <w:trHeight w:val="350"/>
        </w:trPr>
        <w:tc>
          <w:tcPr>
            <w:tcW w:w="1833" w:type="pct"/>
          </w:tcPr>
          <w:p w14:paraId="1493A2F3" w14:textId="6601E1E9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*Math 107</w:t>
            </w:r>
          </w:p>
        </w:tc>
        <w:tc>
          <w:tcPr>
            <w:tcW w:w="799" w:type="pct"/>
          </w:tcPr>
          <w:p w14:paraId="7EDF01A4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30-100%</w:t>
            </w:r>
          </w:p>
        </w:tc>
        <w:tc>
          <w:tcPr>
            <w:tcW w:w="975" w:type="pct"/>
          </w:tcPr>
          <w:p w14:paraId="4C4EE7B7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40-100%</w:t>
            </w:r>
          </w:p>
        </w:tc>
        <w:tc>
          <w:tcPr>
            <w:tcW w:w="1393" w:type="pct"/>
          </w:tcPr>
          <w:p w14:paraId="0A1C2A21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530 / 21</w:t>
            </w:r>
          </w:p>
        </w:tc>
      </w:tr>
      <w:tr w:rsidR="00A02B46" w:rsidRPr="00A02B46" w14:paraId="4382A7CE" w14:textId="77777777" w:rsidTr="00A57A18">
        <w:trPr>
          <w:trHeight w:val="560"/>
        </w:trPr>
        <w:tc>
          <w:tcPr>
            <w:tcW w:w="1833" w:type="pct"/>
          </w:tcPr>
          <w:p w14:paraId="22271AC1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108 (SLHS, ARCH)</w:t>
            </w:r>
          </w:p>
          <w:p w14:paraId="513A2EC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112</w:t>
            </w:r>
          </w:p>
          <w:p w14:paraId="4022AD17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MCB 181L/R</w:t>
            </w:r>
          </w:p>
        </w:tc>
        <w:tc>
          <w:tcPr>
            <w:tcW w:w="799" w:type="pct"/>
          </w:tcPr>
          <w:p w14:paraId="0D5728CB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40-100%</w:t>
            </w:r>
          </w:p>
          <w:p w14:paraId="63C4BAA0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0D3885E3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55-100%</w:t>
            </w:r>
          </w:p>
          <w:p w14:paraId="4C750F4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41D92C3B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560 / 24</w:t>
            </w:r>
          </w:p>
        </w:tc>
      </w:tr>
      <w:tr w:rsidR="00A02B46" w:rsidRPr="00A02B46" w14:paraId="6A454634" w14:textId="77777777" w:rsidTr="00A57A18">
        <w:tc>
          <w:tcPr>
            <w:tcW w:w="1833" w:type="pct"/>
          </w:tcPr>
          <w:p w14:paraId="066C518C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CHEM 141/151</w:t>
            </w:r>
          </w:p>
          <w:p w14:paraId="048114D2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PHYS 102/181</w:t>
            </w:r>
          </w:p>
        </w:tc>
        <w:tc>
          <w:tcPr>
            <w:tcW w:w="799" w:type="pct"/>
          </w:tcPr>
          <w:p w14:paraId="67086F2A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60-100%</w:t>
            </w:r>
          </w:p>
          <w:p w14:paraId="499D84E9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3B00B2A4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24D208C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28A8AEC3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610/26 (like Math 120R except for SAT) </w:t>
            </w:r>
          </w:p>
        </w:tc>
      </w:tr>
      <w:tr w:rsidR="00A02B46" w:rsidRPr="00A02B46" w14:paraId="32C28AD2" w14:textId="77777777" w:rsidTr="00A57A18">
        <w:trPr>
          <w:trHeight w:val="500"/>
        </w:trPr>
        <w:tc>
          <w:tcPr>
            <w:tcW w:w="1833" w:type="pct"/>
          </w:tcPr>
          <w:p w14:paraId="7EA33126" w14:textId="22BDB1AA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113,</w:t>
            </w:r>
            <w:r w:rsidR="00A57A18">
              <w:rPr>
                <w:rFonts w:cstheme="minorHAnsi"/>
                <w:sz w:val="24"/>
                <w:szCs w:val="24"/>
              </w:rPr>
              <w:t xml:space="preserve"> 116 (need MIS 111/BE 120) </w:t>
            </w:r>
          </w:p>
          <w:p w14:paraId="2CE3404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120R</w:t>
            </w:r>
          </w:p>
          <w:p w14:paraId="633C0E28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119A</w:t>
            </w:r>
          </w:p>
          <w:p w14:paraId="2526E394" w14:textId="3732C4F6" w:rsidR="0059721A" w:rsidRPr="001B28B3" w:rsidRDefault="0059721A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9" w:type="pct"/>
          </w:tcPr>
          <w:p w14:paraId="5FF5662D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60-100%</w:t>
            </w:r>
          </w:p>
          <w:p w14:paraId="645DBC24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7B078B37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6B74AA86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75BEC618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640 / 26</w:t>
            </w:r>
          </w:p>
        </w:tc>
      </w:tr>
      <w:tr w:rsidR="0059721A" w:rsidRPr="00A02B46" w14:paraId="7F323C67" w14:textId="77777777" w:rsidTr="00A57A18">
        <w:trPr>
          <w:trHeight w:val="395"/>
        </w:trPr>
        <w:tc>
          <w:tcPr>
            <w:tcW w:w="1833" w:type="pct"/>
          </w:tcPr>
          <w:p w14:paraId="148A4A88" w14:textId="5764424E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122A /Math 122B</w:t>
            </w:r>
          </w:p>
        </w:tc>
        <w:tc>
          <w:tcPr>
            <w:tcW w:w="799" w:type="pct"/>
          </w:tcPr>
          <w:p w14:paraId="4DA3564F" w14:textId="3D5E0831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75-100%</w:t>
            </w:r>
          </w:p>
        </w:tc>
        <w:tc>
          <w:tcPr>
            <w:tcW w:w="975" w:type="pct"/>
          </w:tcPr>
          <w:p w14:paraId="5B6D1957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5368F0A1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7BE444D9" w14:textId="46AE1B14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660 / 28</w:t>
            </w:r>
          </w:p>
        </w:tc>
      </w:tr>
      <w:tr w:rsidR="0059721A" w:rsidRPr="00A02B46" w14:paraId="5D058871" w14:textId="77777777" w:rsidTr="00A57A18">
        <w:tc>
          <w:tcPr>
            <w:tcW w:w="1833" w:type="pct"/>
          </w:tcPr>
          <w:p w14:paraId="7921F60D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Math 125 </w:t>
            </w:r>
          </w:p>
          <w:p w14:paraId="45443A1F" w14:textId="26E93966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CHEM 161/163</w:t>
            </w:r>
          </w:p>
        </w:tc>
        <w:tc>
          <w:tcPr>
            <w:tcW w:w="799" w:type="pct"/>
          </w:tcPr>
          <w:p w14:paraId="65769718" w14:textId="20519AFF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92-100%</w:t>
            </w:r>
          </w:p>
        </w:tc>
        <w:tc>
          <w:tcPr>
            <w:tcW w:w="975" w:type="pct"/>
          </w:tcPr>
          <w:p w14:paraId="75B3DC1C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4373C38B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4B217154" w14:textId="10101636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730/32</w:t>
            </w:r>
          </w:p>
        </w:tc>
      </w:tr>
    </w:tbl>
    <w:p w14:paraId="0A7C1BE6" w14:textId="7EC260A2" w:rsidR="0059721A" w:rsidRDefault="0059721A" w:rsidP="0043022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Some new scores</w:t>
      </w:r>
      <w:r w:rsidR="00D30334">
        <w:rPr>
          <w:rFonts w:cstheme="minorHAnsi"/>
          <w:b/>
          <w:sz w:val="24"/>
          <w:szCs w:val="24"/>
        </w:rPr>
        <w:t xml:space="preserve"> for first year students</w:t>
      </w:r>
      <w:r>
        <w:rPr>
          <w:rFonts w:cstheme="minorHAnsi"/>
          <w:b/>
          <w:sz w:val="24"/>
          <w:szCs w:val="24"/>
        </w:rPr>
        <w:t>:</w:t>
      </w:r>
    </w:p>
    <w:p w14:paraId="40932F44" w14:textId="06B2A8A4" w:rsidR="0059721A" w:rsidRPr="001B28B3" w:rsidRDefault="0059721A" w:rsidP="001B28B3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MPLF 810 means the student has Math 122B tr credit</w:t>
      </w:r>
    </w:p>
    <w:p w14:paraId="0EFC465E" w14:textId="1ECC033E" w:rsidR="0059721A" w:rsidRPr="001B28B3" w:rsidRDefault="0059721A" w:rsidP="001B28B3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MPLF 815 means the student has Math 125 credit</w:t>
      </w:r>
    </w:p>
    <w:p w14:paraId="13A512E7" w14:textId="5442F9B6" w:rsidR="0059721A" w:rsidRPr="001B28B3" w:rsidRDefault="0059721A" w:rsidP="001B28B3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MPLF 820 means the student has Math 129 credit</w:t>
      </w:r>
    </w:p>
    <w:p w14:paraId="60970885" w14:textId="4D4EFC2E" w:rsidR="00616950" w:rsidRPr="001B28B3" w:rsidRDefault="0059721A" w:rsidP="001B28B3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MPLF 830 means the student has Math 223 credit.</w:t>
      </w:r>
    </w:p>
    <w:p w14:paraId="19EEBD7F" w14:textId="77777777" w:rsidR="00E60271" w:rsidRPr="00B55CA2" w:rsidRDefault="00E60271" w:rsidP="00B1743B">
      <w:pPr>
        <w:spacing w:after="0"/>
        <w:rPr>
          <w:bCs/>
        </w:rPr>
      </w:pPr>
    </w:p>
    <w:sectPr w:rsidR="00E60271" w:rsidRPr="00B55CA2" w:rsidSect="001B2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D0F"/>
    <w:multiLevelType w:val="hybridMultilevel"/>
    <w:tmpl w:val="580E7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16E"/>
    <w:multiLevelType w:val="hybridMultilevel"/>
    <w:tmpl w:val="E5B2A0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E9C24BF"/>
    <w:multiLevelType w:val="hybridMultilevel"/>
    <w:tmpl w:val="C9CC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1D8D"/>
    <w:multiLevelType w:val="hybridMultilevel"/>
    <w:tmpl w:val="C0C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0D6D"/>
    <w:multiLevelType w:val="hybridMultilevel"/>
    <w:tmpl w:val="17768C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A0E04CB"/>
    <w:multiLevelType w:val="hybridMultilevel"/>
    <w:tmpl w:val="306E5076"/>
    <w:lvl w:ilvl="0" w:tplc="3FA2B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C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2D8E0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C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84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EA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C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9B321F"/>
    <w:multiLevelType w:val="hybridMultilevel"/>
    <w:tmpl w:val="111E26E6"/>
    <w:lvl w:ilvl="0" w:tplc="9CB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81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68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A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01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AF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0D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08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060749"/>
    <w:multiLevelType w:val="hybridMultilevel"/>
    <w:tmpl w:val="51E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C7CE0"/>
    <w:multiLevelType w:val="hybridMultilevel"/>
    <w:tmpl w:val="045EC38C"/>
    <w:lvl w:ilvl="0" w:tplc="29CC014C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D013B"/>
    <w:multiLevelType w:val="hybridMultilevel"/>
    <w:tmpl w:val="D33EA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D90D8A"/>
    <w:multiLevelType w:val="hybridMultilevel"/>
    <w:tmpl w:val="1B40B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C6E8C"/>
    <w:multiLevelType w:val="hybridMultilevel"/>
    <w:tmpl w:val="8D92B736"/>
    <w:lvl w:ilvl="0" w:tplc="42EE1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84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D314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A0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F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89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4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A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C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326743"/>
    <w:multiLevelType w:val="hybridMultilevel"/>
    <w:tmpl w:val="64824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C648AA"/>
    <w:multiLevelType w:val="hybridMultilevel"/>
    <w:tmpl w:val="E9203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02BA8"/>
    <w:multiLevelType w:val="hybridMultilevel"/>
    <w:tmpl w:val="F16C7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A73A23"/>
    <w:multiLevelType w:val="hybridMultilevel"/>
    <w:tmpl w:val="467A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C59"/>
    <w:multiLevelType w:val="hybridMultilevel"/>
    <w:tmpl w:val="A3BA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1C4338B"/>
    <w:multiLevelType w:val="hybridMultilevel"/>
    <w:tmpl w:val="27EC08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7B3644C"/>
    <w:multiLevelType w:val="hybridMultilevel"/>
    <w:tmpl w:val="0766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28085">
    <w:abstractNumId w:val="5"/>
  </w:num>
  <w:num w:numId="2" w16cid:durableId="1363283230">
    <w:abstractNumId w:val="11"/>
  </w:num>
  <w:num w:numId="3" w16cid:durableId="1480615260">
    <w:abstractNumId w:val="6"/>
  </w:num>
  <w:num w:numId="4" w16cid:durableId="63649182">
    <w:abstractNumId w:val="2"/>
  </w:num>
  <w:num w:numId="5" w16cid:durableId="988169021">
    <w:abstractNumId w:val="8"/>
  </w:num>
  <w:num w:numId="6" w16cid:durableId="1381782548">
    <w:abstractNumId w:val="1"/>
  </w:num>
  <w:num w:numId="7" w16cid:durableId="963077639">
    <w:abstractNumId w:val="9"/>
  </w:num>
  <w:num w:numId="8" w16cid:durableId="365985121">
    <w:abstractNumId w:val="12"/>
  </w:num>
  <w:num w:numId="9" w16cid:durableId="1406294981">
    <w:abstractNumId w:val="15"/>
  </w:num>
  <w:num w:numId="10" w16cid:durableId="583807933">
    <w:abstractNumId w:val="3"/>
  </w:num>
  <w:num w:numId="11" w16cid:durableId="398360523">
    <w:abstractNumId w:val="16"/>
  </w:num>
  <w:num w:numId="12" w16cid:durableId="762805068">
    <w:abstractNumId w:val="17"/>
  </w:num>
  <w:num w:numId="13" w16cid:durableId="843251912">
    <w:abstractNumId w:val="4"/>
  </w:num>
  <w:num w:numId="14" w16cid:durableId="883372050">
    <w:abstractNumId w:val="14"/>
  </w:num>
  <w:num w:numId="15" w16cid:durableId="2108310788">
    <w:abstractNumId w:val="13"/>
  </w:num>
  <w:num w:numId="16" w16cid:durableId="1475562463">
    <w:abstractNumId w:val="0"/>
  </w:num>
  <w:num w:numId="17" w16cid:durableId="1504323060">
    <w:abstractNumId w:val="10"/>
  </w:num>
  <w:num w:numId="18" w16cid:durableId="1325281117">
    <w:abstractNumId w:val="7"/>
  </w:num>
  <w:num w:numId="19" w16cid:durableId="242683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56"/>
    <w:rsid w:val="000E7209"/>
    <w:rsid w:val="00162309"/>
    <w:rsid w:val="001B170B"/>
    <w:rsid w:val="001B28B3"/>
    <w:rsid w:val="002908D9"/>
    <w:rsid w:val="002F07E5"/>
    <w:rsid w:val="00313952"/>
    <w:rsid w:val="0033784E"/>
    <w:rsid w:val="003C6404"/>
    <w:rsid w:val="003D779C"/>
    <w:rsid w:val="00430220"/>
    <w:rsid w:val="0058692E"/>
    <w:rsid w:val="0059721A"/>
    <w:rsid w:val="005B35B0"/>
    <w:rsid w:val="00616950"/>
    <w:rsid w:val="006B7673"/>
    <w:rsid w:val="00750B81"/>
    <w:rsid w:val="0076507E"/>
    <w:rsid w:val="008341FE"/>
    <w:rsid w:val="00863C70"/>
    <w:rsid w:val="00892FC5"/>
    <w:rsid w:val="00920A7E"/>
    <w:rsid w:val="00A02B46"/>
    <w:rsid w:val="00A40852"/>
    <w:rsid w:val="00A57A18"/>
    <w:rsid w:val="00AA06C3"/>
    <w:rsid w:val="00AD0A77"/>
    <w:rsid w:val="00AE1556"/>
    <w:rsid w:val="00B1743B"/>
    <w:rsid w:val="00B55CA2"/>
    <w:rsid w:val="00BE5463"/>
    <w:rsid w:val="00C03E71"/>
    <w:rsid w:val="00C720E9"/>
    <w:rsid w:val="00D30334"/>
    <w:rsid w:val="00D3382B"/>
    <w:rsid w:val="00E60271"/>
    <w:rsid w:val="00E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4F39"/>
  <w15:chartTrackingRefBased/>
  <w15:docId w15:val="{48D9F5C0-3462-43A9-AAD6-23C42203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5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F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.arizona.edu/academics/placement/credits" TargetMode="External"/><Relationship Id="rId13" Type="http://schemas.openxmlformats.org/officeDocument/2006/relationships/hyperlink" Target="mailto:placement@math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h.arizona.edu/support/kb/placement/index.php?pg=kb.book&amp;id=6" TargetMode="External"/><Relationship Id="rId12" Type="http://schemas.openxmlformats.org/officeDocument/2006/relationships/hyperlink" Target="https://www.math.arizona.edu/support/kb/placement/index.php?pg=kb.page&amp;id=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cement@math.Arizona.edu" TargetMode="External"/><Relationship Id="rId11" Type="http://schemas.openxmlformats.org/officeDocument/2006/relationships/hyperlink" Target="mailto:placement@math.arizona.edu" TargetMode="External"/><Relationship Id="rId5" Type="http://schemas.openxmlformats.org/officeDocument/2006/relationships/hyperlink" Target="mailto:cschustr@math.arizona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hinktank.arizona.edu/schedule-for-suc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eduleforsuccess@email.arizona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Tina Schuster - (cschuste)</dc:creator>
  <cp:keywords/>
  <dc:description/>
  <cp:lastModifiedBy>Schuster, Tina - (cschuste)</cp:lastModifiedBy>
  <cp:revision>6</cp:revision>
  <cp:lastPrinted>2022-04-19T16:10:00Z</cp:lastPrinted>
  <dcterms:created xsi:type="dcterms:W3CDTF">2022-04-25T21:09:00Z</dcterms:created>
  <dcterms:modified xsi:type="dcterms:W3CDTF">2022-04-25T21:59:00Z</dcterms:modified>
</cp:coreProperties>
</file>