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582" w:rsidRPr="0070645C" w:rsidRDefault="00A86582" w:rsidP="00A86582">
      <w:pPr>
        <w:spacing w:after="0" w:line="240" w:lineRule="auto"/>
        <w:rPr>
          <w:rFonts w:ascii="Arial" w:eastAsia="Times New Roman" w:hAnsi="Arial" w:cs="Arial"/>
        </w:rPr>
      </w:pPr>
      <w:r w:rsidRPr="00A86582">
        <w:rPr>
          <w:rFonts w:ascii="Arial" w:eastAsia="Times New Roman" w:hAnsi="Arial" w:cs="Arial"/>
          <w:b/>
        </w:rPr>
        <w:t>MEMORANDUM</w:t>
      </w:r>
    </w:p>
    <w:p w:rsidR="00A86582" w:rsidRPr="00A86582" w:rsidRDefault="00A86582" w:rsidP="00A86582">
      <w:pPr>
        <w:spacing w:after="0" w:line="240" w:lineRule="auto"/>
        <w:rPr>
          <w:rFonts w:ascii="Arial" w:eastAsia="Times New Roman" w:hAnsi="Arial" w:cs="Arial"/>
        </w:rPr>
      </w:pPr>
    </w:p>
    <w:p w:rsidR="00A86582" w:rsidRPr="00A86582" w:rsidRDefault="00A86582" w:rsidP="00A86582">
      <w:pPr>
        <w:spacing w:after="0" w:line="240" w:lineRule="auto"/>
        <w:rPr>
          <w:rFonts w:ascii="Arial" w:eastAsia="Times New Roman" w:hAnsi="Arial" w:cs="Arial"/>
        </w:rPr>
      </w:pPr>
      <w:r w:rsidRPr="00A86582">
        <w:rPr>
          <w:rFonts w:ascii="Arial" w:eastAsia="Times New Roman" w:hAnsi="Arial" w:cs="Arial"/>
          <w:b/>
        </w:rPr>
        <w:t>DATE:</w:t>
      </w:r>
      <w:r w:rsidRPr="00A86582">
        <w:rPr>
          <w:rFonts w:ascii="Arial" w:eastAsia="Times New Roman" w:hAnsi="Arial" w:cs="Arial"/>
        </w:rPr>
        <w:tab/>
      </w:r>
      <w:r w:rsidRPr="00A86582">
        <w:rPr>
          <w:rFonts w:ascii="Arial" w:eastAsia="Times New Roman" w:hAnsi="Arial" w:cs="Arial"/>
        </w:rPr>
        <w:tab/>
        <w:t>April 1</w:t>
      </w:r>
      <w:r w:rsidR="00B40E37">
        <w:rPr>
          <w:rFonts w:ascii="Arial" w:eastAsia="Times New Roman" w:hAnsi="Arial" w:cs="Arial"/>
        </w:rPr>
        <w:t>8</w:t>
      </w:r>
      <w:r>
        <w:rPr>
          <w:rFonts w:ascii="Arial" w:eastAsia="Times New Roman" w:hAnsi="Arial" w:cs="Arial"/>
        </w:rPr>
        <w:t>, 2019</w:t>
      </w:r>
    </w:p>
    <w:p w:rsidR="00A86582" w:rsidRPr="00A86582" w:rsidRDefault="00A86582" w:rsidP="00A86582">
      <w:pPr>
        <w:spacing w:after="0" w:line="240" w:lineRule="auto"/>
        <w:rPr>
          <w:rFonts w:ascii="Arial" w:eastAsia="Times New Roman" w:hAnsi="Arial" w:cs="Arial"/>
        </w:rPr>
      </w:pPr>
    </w:p>
    <w:p w:rsidR="00A86582" w:rsidRPr="00A86582" w:rsidRDefault="00A86582" w:rsidP="00A86582">
      <w:pPr>
        <w:spacing w:after="0" w:line="240" w:lineRule="auto"/>
        <w:rPr>
          <w:rFonts w:ascii="Arial" w:eastAsia="Times New Roman" w:hAnsi="Arial" w:cs="Arial"/>
        </w:rPr>
      </w:pPr>
      <w:r w:rsidRPr="00A86582">
        <w:rPr>
          <w:rFonts w:ascii="Arial" w:eastAsia="Times New Roman" w:hAnsi="Arial" w:cs="Arial"/>
          <w:b/>
        </w:rPr>
        <w:t>TO:</w:t>
      </w:r>
      <w:r>
        <w:rPr>
          <w:rFonts w:ascii="Arial" w:eastAsia="Times New Roman" w:hAnsi="Arial" w:cs="Arial"/>
        </w:rPr>
        <w:tab/>
      </w:r>
      <w:r>
        <w:rPr>
          <w:rFonts w:ascii="Arial" w:eastAsia="Times New Roman" w:hAnsi="Arial" w:cs="Arial"/>
        </w:rPr>
        <w:tab/>
        <w:t xml:space="preserve">UA </w:t>
      </w:r>
      <w:r w:rsidRPr="00A86582">
        <w:rPr>
          <w:rFonts w:ascii="Arial" w:eastAsia="Times New Roman" w:hAnsi="Arial" w:cs="Arial"/>
        </w:rPr>
        <w:t>Faculty</w:t>
      </w:r>
      <w:r>
        <w:rPr>
          <w:rFonts w:ascii="Arial" w:eastAsia="Times New Roman" w:hAnsi="Arial" w:cs="Arial"/>
        </w:rPr>
        <w:t>, Academic Advisors, and Registrar’s Staff</w:t>
      </w:r>
    </w:p>
    <w:p w:rsidR="00A86582" w:rsidRPr="00A86582" w:rsidRDefault="00A86582" w:rsidP="00A86582">
      <w:pPr>
        <w:spacing w:after="0" w:line="240" w:lineRule="auto"/>
        <w:rPr>
          <w:rFonts w:ascii="Arial" w:eastAsia="Times New Roman" w:hAnsi="Arial" w:cs="Arial"/>
        </w:rPr>
      </w:pPr>
    </w:p>
    <w:p w:rsidR="00A86582" w:rsidRPr="00A86582" w:rsidRDefault="00A86582" w:rsidP="00A86582">
      <w:pPr>
        <w:spacing w:after="0" w:line="240" w:lineRule="auto"/>
        <w:ind w:left="1440" w:hanging="1440"/>
        <w:rPr>
          <w:rFonts w:ascii="Arial" w:eastAsia="Times New Roman" w:hAnsi="Arial" w:cs="Arial"/>
        </w:rPr>
      </w:pPr>
      <w:r w:rsidRPr="00A86582">
        <w:rPr>
          <w:rFonts w:ascii="Arial" w:eastAsia="Times New Roman" w:hAnsi="Arial" w:cs="Arial"/>
          <w:b/>
        </w:rPr>
        <w:t>FROM:</w:t>
      </w:r>
      <w:r>
        <w:rPr>
          <w:rFonts w:ascii="Arial" w:eastAsia="Times New Roman" w:hAnsi="Arial" w:cs="Arial"/>
        </w:rPr>
        <w:tab/>
        <w:t>Neel Ghosh</w:t>
      </w:r>
      <w:r w:rsidRPr="00A86582">
        <w:rPr>
          <w:rFonts w:ascii="Arial" w:eastAsia="Times New Roman" w:hAnsi="Arial" w:cs="Arial"/>
        </w:rPr>
        <w:t xml:space="preserve">, Chair, </w:t>
      </w:r>
      <w:proofErr w:type="gramStart"/>
      <w:r w:rsidRPr="00A86582">
        <w:rPr>
          <w:rFonts w:ascii="Arial" w:eastAsia="Times New Roman" w:hAnsi="Arial" w:cs="Arial"/>
        </w:rPr>
        <w:t>Undergraduate</w:t>
      </w:r>
      <w:proofErr w:type="gramEnd"/>
      <w:r w:rsidRPr="00A86582">
        <w:rPr>
          <w:rFonts w:ascii="Arial" w:eastAsia="Times New Roman" w:hAnsi="Arial" w:cs="Arial"/>
        </w:rPr>
        <w:t xml:space="preserve"> Council</w:t>
      </w:r>
    </w:p>
    <w:p w:rsidR="00A86582" w:rsidRPr="00A86582" w:rsidRDefault="00A86582" w:rsidP="00A86582">
      <w:pPr>
        <w:spacing w:after="0" w:line="240" w:lineRule="auto"/>
        <w:ind w:left="1440" w:hanging="1440"/>
        <w:rPr>
          <w:rFonts w:ascii="Arial" w:eastAsia="Times New Roman" w:hAnsi="Arial" w:cs="Arial"/>
        </w:rPr>
      </w:pPr>
      <w:r w:rsidRPr="00A86582">
        <w:rPr>
          <w:rFonts w:ascii="Arial" w:eastAsia="Times New Roman" w:hAnsi="Arial" w:cs="Arial"/>
          <w:b/>
        </w:rPr>
        <w:tab/>
      </w:r>
      <w:r w:rsidRPr="00A86582">
        <w:rPr>
          <w:rFonts w:ascii="Arial" w:eastAsia="Times New Roman" w:hAnsi="Arial" w:cs="Arial"/>
        </w:rPr>
        <w:t xml:space="preserve">Celeste Pardee, Assistant Director for Academic Policies/Organizations </w:t>
      </w:r>
    </w:p>
    <w:p w:rsidR="00A86582" w:rsidRPr="00A86582" w:rsidRDefault="00A86582" w:rsidP="00A86582">
      <w:pPr>
        <w:spacing w:after="0" w:line="240" w:lineRule="auto"/>
        <w:rPr>
          <w:rFonts w:ascii="Arial" w:eastAsia="Times New Roman" w:hAnsi="Arial" w:cs="Arial"/>
        </w:rPr>
      </w:pPr>
    </w:p>
    <w:p w:rsidR="00A86582" w:rsidRPr="00A86582" w:rsidRDefault="00A86582" w:rsidP="00A86582">
      <w:pPr>
        <w:spacing w:after="0" w:line="240" w:lineRule="auto"/>
        <w:rPr>
          <w:rFonts w:ascii="Arial" w:eastAsia="Times New Roman" w:hAnsi="Arial" w:cs="Arial"/>
          <w:b/>
        </w:rPr>
      </w:pPr>
      <w:r w:rsidRPr="00A86582">
        <w:rPr>
          <w:rFonts w:ascii="Arial" w:eastAsia="Times New Roman" w:hAnsi="Arial" w:cs="Arial"/>
          <w:b/>
        </w:rPr>
        <w:t>RE:</w:t>
      </w:r>
      <w:r w:rsidRPr="00A86582">
        <w:rPr>
          <w:rFonts w:ascii="Arial" w:eastAsia="Times New Roman" w:hAnsi="Arial" w:cs="Arial"/>
          <w:b/>
        </w:rPr>
        <w:tab/>
      </w:r>
      <w:r w:rsidRPr="00A86582">
        <w:rPr>
          <w:rFonts w:ascii="Arial" w:eastAsia="Times New Roman" w:hAnsi="Arial" w:cs="Arial"/>
          <w:b/>
        </w:rPr>
        <w:tab/>
      </w:r>
      <w:r>
        <w:rPr>
          <w:rFonts w:ascii="Arial" w:eastAsia="Times New Roman" w:hAnsi="Arial" w:cs="Arial"/>
          <w:b/>
        </w:rPr>
        <w:t>Second Start Readmission Policy – Application Deadline</w:t>
      </w:r>
    </w:p>
    <w:p w:rsidR="00A86582" w:rsidRPr="00A86582" w:rsidRDefault="00A86582" w:rsidP="00A86582">
      <w:pPr>
        <w:spacing w:after="0" w:line="240" w:lineRule="auto"/>
        <w:rPr>
          <w:rFonts w:ascii="Arial" w:eastAsia="Times New Roman" w:hAnsi="Arial" w:cs="Arial"/>
          <w:b/>
        </w:rPr>
      </w:pPr>
    </w:p>
    <w:p w:rsidR="00A86582" w:rsidRPr="00A86582" w:rsidRDefault="00A86582" w:rsidP="00A86582">
      <w:pPr>
        <w:spacing w:after="0" w:line="240" w:lineRule="auto"/>
        <w:rPr>
          <w:rFonts w:ascii="Arial" w:eastAsia="Times New Roman" w:hAnsi="Arial" w:cs="Arial"/>
        </w:rPr>
      </w:pPr>
    </w:p>
    <w:p w:rsidR="00A86582" w:rsidRDefault="00A86582" w:rsidP="00A86582">
      <w:pPr>
        <w:spacing w:after="0" w:line="240" w:lineRule="auto"/>
        <w:rPr>
          <w:rFonts w:ascii="Arial" w:eastAsia="Times New Roman" w:hAnsi="Arial" w:cs="Arial"/>
        </w:rPr>
      </w:pPr>
      <w:r w:rsidRPr="00A86582">
        <w:rPr>
          <w:rFonts w:ascii="Arial" w:eastAsia="Times New Roman" w:hAnsi="Arial" w:cs="Arial"/>
        </w:rPr>
        <w:t xml:space="preserve">Effective in </w:t>
      </w:r>
      <w:proofErr w:type="gramStart"/>
      <w:r w:rsidRPr="00A86582">
        <w:rPr>
          <w:rFonts w:ascii="Arial" w:eastAsia="Times New Roman" w:hAnsi="Arial" w:cs="Arial"/>
        </w:rPr>
        <w:t>Fall</w:t>
      </w:r>
      <w:proofErr w:type="gramEnd"/>
      <w:r w:rsidRPr="00A86582">
        <w:rPr>
          <w:rFonts w:ascii="Arial" w:eastAsia="Times New Roman" w:hAnsi="Arial" w:cs="Arial"/>
        </w:rPr>
        <w:t xml:space="preserve"> 201</w:t>
      </w:r>
      <w:r>
        <w:rPr>
          <w:rFonts w:ascii="Arial" w:eastAsia="Times New Roman" w:hAnsi="Arial" w:cs="Arial"/>
        </w:rPr>
        <w:t>9</w:t>
      </w:r>
      <w:r w:rsidRPr="00A86582">
        <w:rPr>
          <w:rFonts w:ascii="Arial" w:eastAsia="Times New Roman" w:hAnsi="Arial" w:cs="Arial"/>
        </w:rPr>
        <w:t xml:space="preserve">, </w:t>
      </w:r>
      <w:r>
        <w:rPr>
          <w:rFonts w:ascii="Arial" w:eastAsia="Times New Roman" w:hAnsi="Arial" w:cs="Arial"/>
        </w:rPr>
        <w:t>readmitted students who may benefit from the Second Start Policy will have more</w:t>
      </w:r>
      <w:r w:rsidR="006B71D9">
        <w:rPr>
          <w:rFonts w:ascii="Arial" w:eastAsia="Times New Roman" w:hAnsi="Arial" w:cs="Arial"/>
        </w:rPr>
        <w:t xml:space="preserve"> time to apply for this program</w:t>
      </w:r>
      <w:r w:rsidRPr="00A86582">
        <w:rPr>
          <w:rFonts w:ascii="Arial" w:eastAsia="Times New Roman" w:hAnsi="Arial" w:cs="Arial"/>
        </w:rPr>
        <w:t>.</w:t>
      </w:r>
      <w:r w:rsidR="006B71D9">
        <w:rPr>
          <w:rFonts w:ascii="Arial" w:eastAsia="Times New Roman" w:hAnsi="Arial" w:cs="Arial"/>
        </w:rPr>
        <w:t xml:space="preserve">  </w:t>
      </w:r>
      <w:r w:rsidR="00CE7A54">
        <w:rPr>
          <w:rFonts w:ascii="Arial" w:eastAsia="Times New Roman" w:hAnsi="Arial" w:cs="Arial"/>
        </w:rPr>
        <w:t>The request to extend the application deadline</w:t>
      </w:r>
      <w:r w:rsidRPr="00A86582">
        <w:rPr>
          <w:rFonts w:ascii="Arial" w:eastAsia="Times New Roman" w:hAnsi="Arial" w:cs="Arial"/>
        </w:rPr>
        <w:t xml:space="preserve"> </w:t>
      </w:r>
      <w:r w:rsidR="00D161AE">
        <w:rPr>
          <w:rFonts w:ascii="Arial" w:eastAsia="Times New Roman" w:hAnsi="Arial" w:cs="Arial"/>
        </w:rPr>
        <w:t>was submitted by the University Academic Advising Council (UAAC) on beha</w:t>
      </w:r>
      <w:r w:rsidR="00B737F0">
        <w:rPr>
          <w:rFonts w:ascii="Arial" w:eastAsia="Times New Roman" w:hAnsi="Arial" w:cs="Arial"/>
        </w:rPr>
        <w:t>lf of returning students who haven’t spoken</w:t>
      </w:r>
      <w:r w:rsidR="00D161AE">
        <w:rPr>
          <w:rFonts w:ascii="Arial" w:eastAsia="Times New Roman" w:hAnsi="Arial" w:cs="Arial"/>
        </w:rPr>
        <w:t xml:space="preserve"> with their college or department advisor prior to the first day of classes for their term of readmission—thus, missing the current deadline</w:t>
      </w:r>
      <w:r w:rsidR="006B71D9">
        <w:rPr>
          <w:rFonts w:ascii="Arial" w:eastAsia="Times New Roman" w:hAnsi="Arial" w:cs="Arial"/>
        </w:rPr>
        <w:t>.  A</w:t>
      </w:r>
      <w:r w:rsidR="00D161AE">
        <w:rPr>
          <w:rFonts w:ascii="Arial" w:eastAsia="Times New Roman" w:hAnsi="Arial" w:cs="Arial"/>
        </w:rPr>
        <w:t xml:space="preserve"> </w:t>
      </w:r>
      <w:r w:rsidR="006B71D9">
        <w:rPr>
          <w:rFonts w:ascii="Arial" w:eastAsia="Times New Roman" w:hAnsi="Arial" w:cs="Arial"/>
        </w:rPr>
        <w:t>new</w:t>
      </w:r>
      <w:r w:rsidR="00D161AE">
        <w:rPr>
          <w:rFonts w:ascii="Arial" w:eastAsia="Times New Roman" w:hAnsi="Arial" w:cs="Arial"/>
        </w:rPr>
        <w:t xml:space="preserve"> deadline was</w:t>
      </w:r>
      <w:r w:rsidRPr="00A86582">
        <w:rPr>
          <w:rFonts w:ascii="Arial" w:eastAsia="Times New Roman" w:hAnsi="Arial" w:cs="Arial"/>
        </w:rPr>
        <w:t xml:space="preserve"> approved by the Undergraduate Council on </w:t>
      </w:r>
      <w:r w:rsidR="00D161AE">
        <w:rPr>
          <w:rFonts w:ascii="Arial" w:eastAsia="Times New Roman" w:hAnsi="Arial" w:cs="Arial"/>
        </w:rPr>
        <w:t>2</w:t>
      </w:r>
      <w:r w:rsidRPr="00A86582">
        <w:rPr>
          <w:rFonts w:ascii="Arial" w:eastAsia="Times New Roman" w:hAnsi="Arial" w:cs="Arial"/>
        </w:rPr>
        <w:t>/1</w:t>
      </w:r>
      <w:r w:rsidR="00D161AE">
        <w:rPr>
          <w:rFonts w:ascii="Arial" w:eastAsia="Times New Roman" w:hAnsi="Arial" w:cs="Arial"/>
        </w:rPr>
        <w:t>2</w:t>
      </w:r>
      <w:r w:rsidRPr="00A86582">
        <w:rPr>
          <w:rFonts w:ascii="Arial" w:eastAsia="Times New Roman" w:hAnsi="Arial" w:cs="Arial"/>
        </w:rPr>
        <w:t>/1</w:t>
      </w:r>
      <w:r w:rsidR="00D161AE">
        <w:rPr>
          <w:rFonts w:ascii="Arial" w:eastAsia="Times New Roman" w:hAnsi="Arial" w:cs="Arial"/>
        </w:rPr>
        <w:t>9</w:t>
      </w:r>
      <w:r w:rsidRPr="00A86582">
        <w:rPr>
          <w:rFonts w:ascii="Arial" w:eastAsia="Times New Roman" w:hAnsi="Arial" w:cs="Arial"/>
        </w:rPr>
        <w:t xml:space="preserve">, and by the Faculty Senate on </w:t>
      </w:r>
      <w:r w:rsidR="00D161AE">
        <w:rPr>
          <w:rFonts w:ascii="Arial" w:eastAsia="Times New Roman" w:hAnsi="Arial" w:cs="Arial"/>
        </w:rPr>
        <w:t>4</w:t>
      </w:r>
      <w:r w:rsidRPr="00A86582">
        <w:rPr>
          <w:rFonts w:ascii="Arial" w:eastAsia="Times New Roman" w:hAnsi="Arial" w:cs="Arial"/>
        </w:rPr>
        <w:t>/</w:t>
      </w:r>
      <w:r w:rsidR="00D161AE">
        <w:rPr>
          <w:rFonts w:ascii="Arial" w:eastAsia="Times New Roman" w:hAnsi="Arial" w:cs="Arial"/>
        </w:rPr>
        <w:t>1</w:t>
      </w:r>
      <w:r w:rsidRPr="00A86582">
        <w:rPr>
          <w:rFonts w:ascii="Arial" w:eastAsia="Times New Roman" w:hAnsi="Arial" w:cs="Arial"/>
        </w:rPr>
        <w:t>/1</w:t>
      </w:r>
      <w:r w:rsidR="00D161AE">
        <w:rPr>
          <w:rFonts w:ascii="Arial" w:eastAsia="Times New Roman" w:hAnsi="Arial" w:cs="Arial"/>
        </w:rPr>
        <w:t>9</w:t>
      </w:r>
      <w:r w:rsidR="004A5DF7">
        <w:rPr>
          <w:rFonts w:ascii="Arial" w:eastAsia="Times New Roman" w:hAnsi="Arial" w:cs="Arial"/>
        </w:rPr>
        <w:t xml:space="preserve">, to be </w:t>
      </w:r>
      <w:r w:rsidR="004A5DF7" w:rsidRPr="004A5DF7">
        <w:rPr>
          <w:rFonts w:ascii="Arial" w:eastAsia="Times New Roman" w:hAnsi="Arial" w:cs="Arial"/>
          <w:b/>
        </w:rPr>
        <w:t xml:space="preserve">effective in </w:t>
      </w:r>
      <w:proofErr w:type="gramStart"/>
      <w:r w:rsidR="004A5DF7" w:rsidRPr="004A5DF7">
        <w:rPr>
          <w:rFonts w:ascii="Arial" w:eastAsia="Times New Roman" w:hAnsi="Arial" w:cs="Arial"/>
          <w:b/>
        </w:rPr>
        <w:t>Fall</w:t>
      </w:r>
      <w:proofErr w:type="gramEnd"/>
      <w:r w:rsidR="004A5DF7" w:rsidRPr="004A5DF7">
        <w:rPr>
          <w:rFonts w:ascii="Arial" w:eastAsia="Times New Roman" w:hAnsi="Arial" w:cs="Arial"/>
          <w:b/>
        </w:rPr>
        <w:t xml:space="preserve"> 2019</w:t>
      </w:r>
      <w:r w:rsidR="004A5DF7">
        <w:rPr>
          <w:rFonts w:ascii="Arial" w:eastAsia="Times New Roman" w:hAnsi="Arial" w:cs="Arial"/>
        </w:rPr>
        <w:t xml:space="preserve"> for all undergraduates, regardless of their Catalog year.</w:t>
      </w:r>
    </w:p>
    <w:p w:rsidR="004A5DF7" w:rsidRPr="00A86582" w:rsidRDefault="004A5DF7" w:rsidP="00A86582">
      <w:pPr>
        <w:spacing w:after="0" w:line="240" w:lineRule="auto"/>
        <w:rPr>
          <w:rFonts w:ascii="Arial" w:eastAsia="Times New Roman" w:hAnsi="Arial" w:cs="Arial"/>
        </w:rPr>
      </w:pPr>
    </w:p>
    <w:p w:rsidR="00A86582" w:rsidRPr="00A86582" w:rsidRDefault="00A86582" w:rsidP="00A86582">
      <w:pPr>
        <w:spacing w:after="0" w:line="240" w:lineRule="auto"/>
        <w:rPr>
          <w:rFonts w:ascii="Arial" w:eastAsia="Times New Roman" w:hAnsi="Arial" w:cs="Arial"/>
        </w:rPr>
      </w:pPr>
      <w:r w:rsidRPr="00A86582">
        <w:rPr>
          <w:rFonts w:ascii="Arial" w:eastAsia="Times New Roman" w:hAnsi="Arial" w:cs="Arial"/>
        </w:rPr>
        <w:t>The</w:t>
      </w:r>
      <w:r w:rsidR="00954369">
        <w:rPr>
          <w:rFonts w:ascii="Arial" w:eastAsia="Times New Roman" w:hAnsi="Arial" w:cs="Arial"/>
        </w:rPr>
        <w:t xml:space="preserve"> new</w:t>
      </w:r>
      <w:r w:rsidRPr="00A86582">
        <w:rPr>
          <w:rFonts w:ascii="Arial" w:eastAsia="Times New Roman" w:hAnsi="Arial" w:cs="Arial"/>
        </w:rPr>
        <w:t xml:space="preserve"> </w:t>
      </w:r>
      <w:hyperlink r:id="rId5" w:history="1">
        <w:r w:rsidR="00D161AE" w:rsidRPr="006B71D9">
          <w:rPr>
            <w:rStyle w:val="Hyperlink"/>
            <w:rFonts w:ascii="Arial" w:eastAsia="Times New Roman" w:hAnsi="Arial" w:cs="Arial"/>
            <w:b/>
          </w:rPr>
          <w:t>Second Start Readmission Policy</w:t>
        </w:r>
      </w:hyperlink>
      <w:r w:rsidR="004A5DF7">
        <w:rPr>
          <w:rFonts w:ascii="Arial" w:eastAsia="Times New Roman" w:hAnsi="Arial" w:cs="Arial"/>
          <w:b/>
        </w:rPr>
        <w:t xml:space="preserve"> </w:t>
      </w:r>
      <w:r w:rsidR="004A5DF7" w:rsidRPr="004A5DF7">
        <w:rPr>
          <w:rFonts w:ascii="Arial" w:eastAsia="Times New Roman" w:hAnsi="Arial" w:cs="Arial"/>
        </w:rPr>
        <w:t>deadline</w:t>
      </w:r>
      <w:r w:rsidR="00D161AE">
        <w:rPr>
          <w:rFonts w:ascii="Arial" w:eastAsia="Times New Roman" w:hAnsi="Arial" w:cs="Arial"/>
        </w:rPr>
        <w:t xml:space="preserve"> is in the 2019-20 Catalog</w:t>
      </w:r>
      <w:r w:rsidR="00E85F86">
        <w:rPr>
          <w:rFonts w:ascii="Arial" w:eastAsia="Times New Roman" w:hAnsi="Arial" w:cs="Arial"/>
        </w:rPr>
        <w:t xml:space="preserve"> </w:t>
      </w:r>
      <w:r w:rsidR="00E85F86" w:rsidRPr="00954369">
        <w:rPr>
          <w:rFonts w:ascii="Arial" w:eastAsia="Times New Roman" w:hAnsi="Arial" w:cs="Arial"/>
          <w:color w:val="FF0000"/>
        </w:rPr>
        <w:t>(i</w:t>
      </w:r>
      <w:r w:rsidR="00E85F86" w:rsidRPr="00130365">
        <w:rPr>
          <w:rFonts w:ascii="Arial" w:eastAsia="Times New Roman" w:hAnsi="Arial" w:cs="Arial"/>
          <w:color w:val="FF0000"/>
        </w:rPr>
        <w:t>n red font</w:t>
      </w:r>
      <w:r w:rsidR="006B71D9">
        <w:rPr>
          <w:rFonts w:ascii="Arial" w:eastAsia="Times New Roman" w:hAnsi="Arial" w:cs="Arial"/>
          <w:color w:val="FF0000"/>
        </w:rPr>
        <w:t xml:space="preserve"> below</w:t>
      </w:r>
      <w:r w:rsidR="00E85F86" w:rsidRPr="00954369">
        <w:rPr>
          <w:rFonts w:ascii="Arial" w:eastAsia="Times New Roman" w:hAnsi="Arial" w:cs="Arial"/>
          <w:color w:val="FF0000"/>
        </w:rPr>
        <w:t>).</w:t>
      </w:r>
      <w:r w:rsidR="00E85F86">
        <w:rPr>
          <w:rFonts w:ascii="Arial" w:eastAsia="Times New Roman" w:hAnsi="Arial" w:cs="Arial"/>
        </w:rPr>
        <w:t xml:space="preserve"> </w:t>
      </w:r>
    </w:p>
    <w:p w:rsidR="00A86582" w:rsidRPr="00A86582" w:rsidRDefault="00A86582" w:rsidP="00A86582">
      <w:pPr>
        <w:spacing w:after="0" w:line="240" w:lineRule="auto"/>
        <w:rPr>
          <w:rFonts w:ascii="Arial" w:eastAsia="Times New Roman" w:hAnsi="Arial" w:cs="Arial"/>
        </w:rPr>
      </w:pPr>
    </w:p>
    <w:p w:rsidR="00033392" w:rsidRPr="00033392" w:rsidRDefault="00033392" w:rsidP="00033392">
      <w:pPr>
        <w:spacing w:after="0" w:line="240" w:lineRule="auto"/>
        <w:ind w:left="288"/>
        <w:rPr>
          <w:rFonts w:ascii="Arial" w:eastAsia="Times New Roman" w:hAnsi="Arial" w:cs="Arial"/>
          <w:i/>
          <w:sz w:val="20"/>
          <w:szCs w:val="20"/>
          <w:lang w:val="en"/>
        </w:rPr>
      </w:pPr>
      <w:r w:rsidRPr="00033392">
        <w:rPr>
          <w:rFonts w:ascii="Arial" w:eastAsia="Times New Roman" w:hAnsi="Arial" w:cs="Arial"/>
          <w:i/>
          <w:sz w:val="20"/>
          <w:szCs w:val="20"/>
          <w:lang w:val="en"/>
        </w:rPr>
        <w:t>Undergraduates seeking readmission to The University of Arizona after an absence of at least three years may apply for the Second Start Readmission Program. When a returning student applies for readmission through Second Start, the student’s application and prior academic record are reviewed by the academic college offering the student’s program of study. If accepted by the college and the University, students are also accepted into the Second Start Program.</w:t>
      </w:r>
    </w:p>
    <w:p w:rsidR="00033392" w:rsidRPr="00033392" w:rsidRDefault="00033392" w:rsidP="00033392">
      <w:pPr>
        <w:spacing w:after="0" w:line="240" w:lineRule="auto"/>
        <w:ind w:left="288"/>
        <w:rPr>
          <w:rFonts w:ascii="Arial" w:eastAsia="Times New Roman" w:hAnsi="Arial" w:cs="Arial"/>
          <w:i/>
          <w:sz w:val="20"/>
          <w:szCs w:val="20"/>
          <w:lang w:val="en"/>
        </w:rPr>
      </w:pPr>
    </w:p>
    <w:p w:rsidR="00033392" w:rsidRPr="00033392" w:rsidRDefault="00033392" w:rsidP="00033392">
      <w:pPr>
        <w:spacing w:after="0" w:line="240" w:lineRule="auto"/>
        <w:ind w:left="288"/>
        <w:rPr>
          <w:rFonts w:ascii="Arial" w:eastAsia="Times New Roman" w:hAnsi="Arial" w:cs="Arial"/>
          <w:i/>
          <w:sz w:val="20"/>
          <w:szCs w:val="20"/>
          <w:lang w:val="en"/>
        </w:rPr>
      </w:pPr>
      <w:r w:rsidRPr="00033392">
        <w:rPr>
          <w:rFonts w:ascii="Arial" w:eastAsia="Times New Roman" w:hAnsi="Arial" w:cs="Arial"/>
          <w:i/>
          <w:sz w:val="20"/>
          <w:szCs w:val="20"/>
          <w:lang w:val="en"/>
        </w:rPr>
        <w:t xml:space="preserve">Once the conditions of Second Start are met, all grades earned for UA course work prior to the student’s absence will be disregarded in the student’s cumulative GPA; however, courses in which a C or better was earned will continue to fulfill degree requirements. Credit for those courses with a C grade or above will count as earned units toward specific requirements (e.g., General Education, the major or minor), class standing, and total degree units. But only the courses taken </w:t>
      </w:r>
      <w:r w:rsidRPr="00033392">
        <w:rPr>
          <w:rFonts w:ascii="Arial" w:eastAsia="Times New Roman" w:hAnsi="Arial" w:cs="Arial"/>
          <w:bCs/>
          <w:i/>
          <w:sz w:val="20"/>
          <w:szCs w:val="20"/>
          <w:lang w:val="en"/>
        </w:rPr>
        <w:t xml:space="preserve">after </w:t>
      </w:r>
      <w:r w:rsidRPr="00033392">
        <w:rPr>
          <w:rFonts w:ascii="Arial" w:eastAsia="Times New Roman" w:hAnsi="Arial" w:cs="Arial"/>
          <w:i/>
          <w:sz w:val="20"/>
          <w:szCs w:val="20"/>
          <w:lang w:val="en"/>
        </w:rPr>
        <w:t>Second Start is enacted will count toward the </w:t>
      </w:r>
      <w:hyperlink r:id="rId6" w:history="1">
        <w:r w:rsidRPr="00033392">
          <w:rPr>
            <w:rStyle w:val="Hyperlink"/>
            <w:rFonts w:ascii="Arial" w:eastAsia="Times New Roman" w:hAnsi="Arial" w:cs="Arial"/>
            <w:bCs/>
            <w:i/>
            <w:sz w:val="20"/>
            <w:szCs w:val="20"/>
            <w:lang w:val="en"/>
          </w:rPr>
          <w:t>University Credit</w:t>
        </w:r>
      </w:hyperlink>
      <w:r w:rsidRPr="00033392">
        <w:rPr>
          <w:rFonts w:ascii="Arial" w:eastAsia="Times New Roman" w:hAnsi="Arial" w:cs="Arial"/>
          <w:i/>
          <w:sz w:val="20"/>
          <w:szCs w:val="20"/>
          <w:lang w:val="en"/>
        </w:rPr>
        <w:t xml:space="preserve"> requirements.</w:t>
      </w:r>
    </w:p>
    <w:p w:rsidR="00033392" w:rsidRPr="00033392" w:rsidRDefault="00033392" w:rsidP="00033392">
      <w:pPr>
        <w:spacing w:after="0" w:line="240" w:lineRule="auto"/>
        <w:ind w:left="288"/>
        <w:rPr>
          <w:rFonts w:ascii="Arial" w:eastAsia="Times New Roman" w:hAnsi="Arial" w:cs="Arial"/>
          <w:i/>
          <w:sz w:val="20"/>
          <w:szCs w:val="20"/>
          <w:lang w:val="en"/>
        </w:rPr>
      </w:pPr>
    </w:p>
    <w:p w:rsidR="00033392" w:rsidRPr="00033392" w:rsidRDefault="00033392" w:rsidP="00033392">
      <w:pPr>
        <w:spacing w:after="0" w:line="240" w:lineRule="auto"/>
        <w:ind w:left="288"/>
        <w:rPr>
          <w:rFonts w:ascii="Arial" w:eastAsia="Times New Roman" w:hAnsi="Arial" w:cs="Arial"/>
          <w:b/>
          <w:i/>
          <w:sz w:val="20"/>
          <w:szCs w:val="20"/>
          <w:lang w:val="en"/>
        </w:rPr>
      </w:pPr>
      <w:r w:rsidRPr="00033392">
        <w:rPr>
          <w:rFonts w:ascii="Arial" w:eastAsia="Times New Roman" w:hAnsi="Arial" w:cs="Arial"/>
          <w:b/>
          <w:bCs/>
          <w:i/>
          <w:sz w:val="20"/>
          <w:szCs w:val="20"/>
          <w:lang w:val="en"/>
        </w:rPr>
        <w:t>Criteria for Enactment of Second Start</w:t>
      </w:r>
    </w:p>
    <w:p w:rsidR="00033392" w:rsidRPr="00033392" w:rsidRDefault="00033392" w:rsidP="00033392">
      <w:pPr>
        <w:spacing w:after="0" w:line="240" w:lineRule="auto"/>
        <w:ind w:left="288"/>
        <w:rPr>
          <w:rFonts w:ascii="Arial" w:eastAsia="Times New Roman" w:hAnsi="Arial" w:cs="Arial"/>
          <w:i/>
          <w:sz w:val="20"/>
          <w:szCs w:val="20"/>
          <w:lang w:val="en"/>
        </w:rPr>
      </w:pPr>
      <w:r w:rsidRPr="00033392">
        <w:rPr>
          <w:rFonts w:ascii="Arial" w:eastAsia="Times New Roman" w:hAnsi="Arial" w:cs="Arial"/>
          <w:i/>
          <w:sz w:val="20"/>
          <w:szCs w:val="20"/>
          <w:lang w:val="en"/>
        </w:rPr>
        <w:t>To qualify for the program, the following conditions must be met:</w:t>
      </w:r>
    </w:p>
    <w:p w:rsidR="00033392" w:rsidRPr="00033392" w:rsidRDefault="00033392" w:rsidP="00033392">
      <w:pPr>
        <w:numPr>
          <w:ilvl w:val="0"/>
          <w:numId w:val="3"/>
        </w:numPr>
        <w:tabs>
          <w:tab w:val="num" w:pos="1440"/>
        </w:tabs>
        <w:spacing w:after="0" w:line="240" w:lineRule="auto"/>
        <w:ind w:left="1080"/>
        <w:rPr>
          <w:rFonts w:ascii="Arial" w:eastAsia="Times New Roman" w:hAnsi="Arial" w:cs="Arial"/>
          <w:i/>
          <w:sz w:val="20"/>
          <w:szCs w:val="20"/>
          <w:lang w:val="en"/>
        </w:rPr>
      </w:pPr>
      <w:r w:rsidRPr="00033392">
        <w:rPr>
          <w:rFonts w:ascii="Arial" w:eastAsia="Times New Roman" w:hAnsi="Arial" w:cs="Arial"/>
          <w:i/>
          <w:sz w:val="20"/>
          <w:szCs w:val="20"/>
          <w:lang w:val="en"/>
        </w:rPr>
        <w:t>The student is pursuing readmission to an undergraduate degree program;</w:t>
      </w:r>
    </w:p>
    <w:p w:rsidR="00033392" w:rsidRPr="00033392" w:rsidRDefault="00033392" w:rsidP="00033392">
      <w:pPr>
        <w:numPr>
          <w:ilvl w:val="0"/>
          <w:numId w:val="3"/>
        </w:numPr>
        <w:tabs>
          <w:tab w:val="num" w:pos="1440"/>
        </w:tabs>
        <w:spacing w:after="0" w:line="240" w:lineRule="auto"/>
        <w:ind w:left="1080"/>
        <w:rPr>
          <w:rFonts w:ascii="Arial" w:eastAsia="Times New Roman" w:hAnsi="Arial" w:cs="Arial"/>
          <w:i/>
          <w:sz w:val="20"/>
          <w:szCs w:val="20"/>
          <w:lang w:val="en"/>
        </w:rPr>
      </w:pPr>
      <w:r w:rsidRPr="00033392">
        <w:rPr>
          <w:rFonts w:ascii="Arial" w:eastAsia="Times New Roman" w:hAnsi="Arial" w:cs="Arial"/>
          <w:i/>
          <w:sz w:val="20"/>
          <w:szCs w:val="20"/>
          <w:lang w:val="en"/>
        </w:rPr>
        <w:t>At the time the request is filed, a minimum of three years must have elapsed since the most recent UA course work was attempted;</w:t>
      </w:r>
    </w:p>
    <w:p w:rsidR="00033392" w:rsidRPr="00033392" w:rsidRDefault="00033392" w:rsidP="00033392">
      <w:pPr>
        <w:numPr>
          <w:ilvl w:val="0"/>
          <w:numId w:val="3"/>
        </w:numPr>
        <w:tabs>
          <w:tab w:val="num" w:pos="1440"/>
        </w:tabs>
        <w:spacing w:after="0" w:line="240" w:lineRule="auto"/>
        <w:ind w:left="1080"/>
        <w:rPr>
          <w:rFonts w:ascii="Arial" w:eastAsia="Times New Roman" w:hAnsi="Arial" w:cs="Arial"/>
          <w:i/>
          <w:sz w:val="20"/>
          <w:szCs w:val="20"/>
          <w:lang w:val="en"/>
        </w:rPr>
      </w:pPr>
      <w:r w:rsidRPr="00033392">
        <w:rPr>
          <w:rFonts w:ascii="Arial" w:eastAsia="Times New Roman" w:hAnsi="Arial" w:cs="Arial"/>
          <w:i/>
          <w:sz w:val="20"/>
          <w:szCs w:val="20"/>
          <w:lang w:val="en"/>
        </w:rPr>
        <w:t>The student must complete 12 or more graded units in the 12 months following the absence, with a minimum grade-point average of 2.500 for all courses completed in that interval.</w:t>
      </w:r>
    </w:p>
    <w:p w:rsidR="00033392" w:rsidRPr="00033392" w:rsidRDefault="00033392" w:rsidP="00033392">
      <w:pPr>
        <w:spacing w:after="0" w:line="240" w:lineRule="auto"/>
        <w:ind w:left="288"/>
        <w:rPr>
          <w:rFonts w:ascii="Arial" w:eastAsia="Times New Roman" w:hAnsi="Arial" w:cs="Arial"/>
          <w:i/>
          <w:sz w:val="20"/>
          <w:szCs w:val="20"/>
          <w:lang w:val="en"/>
        </w:rPr>
      </w:pPr>
    </w:p>
    <w:p w:rsidR="00033392" w:rsidRPr="00033392" w:rsidRDefault="00033392" w:rsidP="00033392">
      <w:pPr>
        <w:spacing w:after="0" w:line="240" w:lineRule="auto"/>
        <w:ind w:left="288"/>
        <w:rPr>
          <w:rFonts w:ascii="Arial" w:eastAsia="Times New Roman" w:hAnsi="Arial" w:cs="Arial"/>
          <w:i/>
          <w:sz w:val="20"/>
          <w:szCs w:val="20"/>
          <w:lang w:val="en"/>
        </w:rPr>
      </w:pPr>
      <w:r w:rsidRPr="00033392">
        <w:rPr>
          <w:rFonts w:ascii="Arial" w:eastAsia="Times New Roman" w:hAnsi="Arial" w:cs="Arial"/>
          <w:i/>
          <w:sz w:val="20"/>
          <w:szCs w:val="20"/>
          <w:lang w:val="en"/>
        </w:rPr>
        <w:t xml:space="preserve">Students may apply for Second Start </w:t>
      </w:r>
      <w:r w:rsidRPr="004A5DF7">
        <w:rPr>
          <w:rFonts w:ascii="Arial" w:eastAsia="Times New Roman" w:hAnsi="Arial" w:cs="Arial"/>
          <w:i/>
          <w:color w:val="FF0000"/>
          <w:sz w:val="20"/>
          <w:szCs w:val="20"/>
          <w:lang w:val="en"/>
        </w:rPr>
        <w:t xml:space="preserve">prior to readmission </w:t>
      </w:r>
      <w:r w:rsidRPr="00033392">
        <w:rPr>
          <w:rFonts w:ascii="Arial" w:eastAsia="Times New Roman" w:hAnsi="Arial" w:cs="Arial"/>
          <w:i/>
          <w:color w:val="FF0000"/>
          <w:sz w:val="20"/>
          <w:szCs w:val="20"/>
          <w:lang w:val="en"/>
        </w:rPr>
        <w:t>and up until the last day of classes of the first term of readmission</w:t>
      </w:r>
      <w:r w:rsidRPr="00033392">
        <w:rPr>
          <w:rFonts w:ascii="Arial" w:eastAsia="Times New Roman" w:hAnsi="Arial" w:cs="Arial"/>
          <w:i/>
          <w:sz w:val="20"/>
          <w:szCs w:val="20"/>
          <w:lang w:val="en"/>
        </w:rPr>
        <w:t>. The application form is available from the student's college advisor. Some colleges will require the program for conditional readmission. Recalculation of the student’s GPA won’t occur until after the student completes 12 graded units with a 2.500 GPA within the first 12 months.</w:t>
      </w:r>
    </w:p>
    <w:p w:rsidR="00130365" w:rsidRPr="00033392" w:rsidRDefault="00130365" w:rsidP="00A86582">
      <w:pPr>
        <w:spacing w:after="0" w:line="240" w:lineRule="auto"/>
        <w:rPr>
          <w:rFonts w:ascii="Arial" w:eastAsia="Times New Roman" w:hAnsi="Arial" w:cs="Arial"/>
          <w:b/>
          <w:sz w:val="20"/>
          <w:szCs w:val="20"/>
        </w:rPr>
      </w:pPr>
    </w:p>
    <w:p w:rsidR="00A86582" w:rsidRPr="00A86582" w:rsidRDefault="00130365" w:rsidP="00A86582">
      <w:pPr>
        <w:spacing w:after="0" w:line="240" w:lineRule="auto"/>
        <w:rPr>
          <w:rFonts w:ascii="Arial" w:eastAsia="Times New Roman" w:hAnsi="Arial" w:cs="Arial"/>
          <w:b/>
        </w:rPr>
      </w:pPr>
      <w:r>
        <w:rPr>
          <w:rFonts w:ascii="Arial" w:eastAsia="Times New Roman" w:hAnsi="Arial" w:cs="Arial"/>
          <w:b/>
        </w:rPr>
        <w:t>Rationale for the extended deadline</w:t>
      </w:r>
      <w:r w:rsidR="00A86582" w:rsidRPr="00A86582">
        <w:rPr>
          <w:rFonts w:ascii="Arial" w:eastAsia="Times New Roman" w:hAnsi="Arial" w:cs="Arial"/>
          <w:b/>
        </w:rPr>
        <w:t>:</w:t>
      </w:r>
    </w:p>
    <w:p w:rsidR="00CB29AD" w:rsidRPr="00CB29AD" w:rsidRDefault="00CB29AD" w:rsidP="00A86582">
      <w:pPr>
        <w:numPr>
          <w:ilvl w:val="0"/>
          <w:numId w:val="2"/>
        </w:numPr>
        <w:spacing w:after="0" w:line="240" w:lineRule="auto"/>
        <w:rPr>
          <w:rFonts w:ascii="Arial" w:eastAsia="Times New Roman" w:hAnsi="Arial" w:cs="Arial"/>
        </w:rPr>
      </w:pPr>
      <w:r w:rsidRPr="00CB29AD">
        <w:rPr>
          <w:rFonts w:ascii="Arial" w:eastAsia="Times New Roman" w:hAnsi="Arial" w:cs="Arial"/>
        </w:rPr>
        <w:t xml:space="preserve">During the first </w:t>
      </w:r>
      <w:r>
        <w:rPr>
          <w:rFonts w:ascii="Arial" w:eastAsia="Times New Roman" w:hAnsi="Arial" w:cs="Arial"/>
        </w:rPr>
        <w:t>3</w:t>
      </w:r>
      <w:r w:rsidRPr="00CB29AD">
        <w:rPr>
          <w:rFonts w:ascii="Arial" w:eastAsia="Times New Roman" w:hAnsi="Arial" w:cs="Arial"/>
        </w:rPr>
        <w:t xml:space="preserve"> years of the Second Start Program</w:t>
      </w:r>
      <w:r>
        <w:rPr>
          <w:rFonts w:ascii="Arial" w:eastAsia="Times New Roman" w:hAnsi="Arial" w:cs="Arial"/>
        </w:rPr>
        <w:t xml:space="preserve"> (Fall ’16 – Spring ’18)</w:t>
      </w:r>
      <w:r w:rsidRPr="00CB29AD">
        <w:rPr>
          <w:rFonts w:ascii="Arial" w:eastAsia="Times New Roman" w:hAnsi="Arial" w:cs="Arial"/>
        </w:rPr>
        <w:t>, only 29% – 47%</w:t>
      </w:r>
      <w:r>
        <w:rPr>
          <w:rFonts w:ascii="Arial" w:eastAsia="Times New Roman" w:hAnsi="Arial" w:cs="Arial"/>
        </w:rPr>
        <w:t xml:space="preserve"> of the eligible students registered by the deadline</w:t>
      </w:r>
      <w:r w:rsidR="00FA5933">
        <w:rPr>
          <w:rFonts w:ascii="Arial" w:eastAsia="Times New Roman" w:hAnsi="Arial" w:cs="Arial"/>
        </w:rPr>
        <w:t>—</w:t>
      </w:r>
      <w:r>
        <w:rPr>
          <w:rFonts w:ascii="Arial" w:eastAsia="Times New Roman" w:hAnsi="Arial" w:cs="Arial"/>
        </w:rPr>
        <w:t>the</w:t>
      </w:r>
      <w:r w:rsidR="00FA5933">
        <w:rPr>
          <w:rFonts w:ascii="Arial" w:eastAsia="Times New Roman" w:hAnsi="Arial" w:cs="Arial"/>
        </w:rPr>
        <w:t xml:space="preserve"> </w:t>
      </w:r>
      <w:r w:rsidRPr="00FA5933">
        <w:rPr>
          <w:rFonts w:ascii="Arial" w:eastAsia="Times New Roman" w:hAnsi="Arial" w:cs="Arial"/>
          <w:u w:val="single"/>
        </w:rPr>
        <w:t>first</w:t>
      </w:r>
      <w:r>
        <w:rPr>
          <w:rFonts w:ascii="Arial" w:eastAsia="Times New Roman" w:hAnsi="Arial" w:cs="Arial"/>
        </w:rPr>
        <w:t xml:space="preserve"> day of classes of the first term of readmission.</w:t>
      </w:r>
    </w:p>
    <w:p w:rsidR="00FA5933" w:rsidRPr="00FA5933" w:rsidRDefault="00CB29AD" w:rsidP="00A86582">
      <w:pPr>
        <w:numPr>
          <w:ilvl w:val="0"/>
          <w:numId w:val="2"/>
        </w:numPr>
        <w:spacing w:after="0" w:line="240" w:lineRule="auto"/>
        <w:rPr>
          <w:rFonts w:ascii="Arial" w:eastAsia="Times New Roman" w:hAnsi="Arial" w:cs="Arial"/>
          <w:b/>
        </w:rPr>
      </w:pPr>
      <w:r>
        <w:rPr>
          <w:rFonts w:ascii="Arial" w:eastAsia="Times New Roman" w:hAnsi="Arial" w:cs="Arial"/>
        </w:rPr>
        <w:lastRenderedPageBreak/>
        <w:t xml:space="preserve">Eligible students </w:t>
      </w:r>
      <w:r w:rsidR="00FA5933">
        <w:rPr>
          <w:rFonts w:ascii="Arial" w:eastAsia="Times New Roman" w:hAnsi="Arial" w:cs="Arial"/>
        </w:rPr>
        <w:t xml:space="preserve">missed that deadline for several reasons:  some were readmitted </w:t>
      </w:r>
      <w:r w:rsidR="00FA5933" w:rsidRPr="00FA5933">
        <w:rPr>
          <w:rFonts w:ascii="Arial" w:eastAsia="Times New Roman" w:hAnsi="Arial" w:cs="Arial"/>
          <w:u w:val="single"/>
        </w:rPr>
        <w:t>during</w:t>
      </w:r>
      <w:r w:rsidR="00FA5933">
        <w:rPr>
          <w:rFonts w:ascii="Arial" w:eastAsia="Times New Roman" w:hAnsi="Arial" w:cs="Arial"/>
        </w:rPr>
        <w:t xml:space="preserve"> the first week of classes, some </w:t>
      </w:r>
      <w:r w:rsidR="006B71D9">
        <w:rPr>
          <w:rFonts w:ascii="Arial" w:eastAsia="Times New Roman" w:hAnsi="Arial" w:cs="Arial"/>
        </w:rPr>
        <w:t xml:space="preserve">had other priorities (such as </w:t>
      </w:r>
      <w:r w:rsidR="00FA5933">
        <w:rPr>
          <w:rFonts w:ascii="Arial" w:eastAsia="Times New Roman" w:hAnsi="Arial" w:cs="Arial"/>
        </w:rPr>
        <w:t>chang</w:t>
      </w:r>
      <w:r w:rsidR="006B71D9">
        <w:rPr>
          <w:rFonts w:ascii="Arial" w:eastAsia="Times New Roman" w:hAnsi="Arial" w:cs="Arial"/>
        </w:rPr>
        <w:t>ing</w:t>
      </w:r>
      <w:r w:rsidR="00FA5933">
        <w:rPr>
          <w:rFonts w:ascii="Arial" w:eastAsia="Times New Roman" w:hAnsi="Arial" w:cs="Arial"/>
        </w:rPr>
        <w:t xml:space="preserve"> majors</w:t>
      </w:r>
      <w:r w:rsidR="006B71D9">
        <w:rPr>
          <w:rFonts w:ascii="Arial" w:eastAsia="Times New Roman" w:hAnsi="Arial" w:cs="Arial"/>
        </w:rPr>
        <w:t>)</w:t>
      </w:r>
      <w:r w:rsidR="00FA5933">
        <w:rPr>
          <w:rFonts w:ascii="Arial" w:eastAsia="Times New Roman" w:hAnsi="Arial" w:cs="Arial"/>
        </w:rPr>
        <w:t xml:space="preserve"> </w:t>
      </w:r>
      <w:r w:rsidR="006B71D9">
        <w:rPr>
          <w:rFonts w:ascii="Arial" w:eastAsia="Times New Roman" w:hAnsi="Arial" w:cs="Arial"/>
        </w:rPr>
        <w:t>so</w:t>
      </w:r>
      <w:r w:rsidR="00FA5933">
        <w:rPr>
          <w:rFonts w:ascii="Arial" w:eastAsia="Times New Roman" w:hAnsi="Arial" w:cs="Arial"/>
        </w:rPr>
        <w:t xml:space="preserve"> Second Start was</w:t>
      </w:r>
      <w:r w:rsidR="006B71D9">
        <w:rPr>
          <w:rFonts w:ascii="Arial" w:eastAsia="Times New Roman" w:hAnsi="Arial" w:cs="Arial"/>
        </w:rPr>
        <w:t xml:space="preserve">n’t discussed </w:t>
      </w:r>
      <w:r w:rsidR="00FA5933">
        <w:rPr>
          <w:rFonts w:ascii="Arial" w:eastAsia="Times New Roman" w:hAnsi="Arial" w:cs="Arial"/>
        </w:rPr>
        <w:t xml:space="preserve">during the advising session, and </w:t>
      </w:r>
      <w:r w:rsidR="006B71D9">
        <w:rPr>
          <w:rFonts w:ascii="Arial" w:eastAsia="Times New Roman" w:hAnsi="Arial" w:cs="Arial"/>
        </w:rPr>
        <w:t>som</w:t>
      </w:r>
      <w:r w:rsidR="00FA5933">
        <w:rPr>
          <w:rFonts w:ascii="Arial" w:eastAsia="Times New Roman" w:hAnsi="Arial" w:cs="Arial"/>
        </w:rPr>
        <w:t>e who left in good standing didn’t have Second Start as a criterion for readmission.</w:t>
      </w:r>
    </w:p>
    <w:p w:rsidR="00954369" w:rsidRPr="00954369" w:rsidRDefault="006B71D9" w:rsidP="00A86582">
      <w:pPr>
        <w:numPr>
          <w:ilvl w:val="0"/>
          <w:numId w:val="2"/>
        </w:numPr>
        <w:spacing w:after="0" w:line="240" w:lineRule="auto"/>
        <w:rPr>
          <w:rFonts w:ascii="Arial" w:eastAsia="Times New Roman" w:hAnsi="Arial" w:cs="Arial"/>
          <w:b/>
        </w:rPr>
      </w:pPr>
      <w:r>
        <w:rPr>
          <w:rFonts w:ascii="Arial" w:eastAsia="Times New Roman" w:hAnsi="Arial" w:cs="Arial"/>
        </w:rPr>
        <w:t>The new</w:t>
      </w:r>
      <w:r w:rsidR="00FA5933">
        <w:rPr>
          <w:rFonts w:ascii="Arial" w:eastAsia="Times New Roman" w:hAnsi="Arial" w:cs="Arial"/>
        </w:rPr>
        <w:t xml:space="preserve"> deadline</w:t>
      </w:r>
      <w:r>
        <w:rPr>
          <w:rFonts w:ascii="Arial" w:eastAsia="Times New Roman" w:hAnsi="Arial" w:cs="Arial"/>
        </w:rPr>
        <w:t>—</w:t>
      </w:r>
      <w:r w:rsidR="00511F02">
        <w:rPr>
          <w:rFonts w:ascii="Arial" w:eastAsia="Times New Roman" w:hAnsi="Arial" w:cs="Arial"/>
        </w:rPr>
        <w:t>the last day of classes (before final exams)</w:t>
      </w:r>
      <w:r w:rsidR="00954369">
        <w:rPr>
          <w:rFonts w:ascii="Arial" w:eastAsia="Times New Roman" w:hAnsi="Arial" w:cs="Arial"/>
        </w:rPr>
        <w:t xml:space="preserve"> of their first term of readmission</w:t>
      </w:r>
      <w:r w:rsidR="00511F02">
        <w:rPr>
          <w:rFonts w:ascii="Arial" w:eastAsia="Times New Roman" w:hAnsi="Arial" w:cs="Arial"/>
        </w:rPr>
        <w:t>—gives students</w:t>
      </w:r>
      <w:r w:rsidR="00FA5933">
        <w:rPr>
          <w:rFonts w:ascii="Arial" w:eastAsia="Times New Roman" w:hAnsi="Arial" w:cs="Arial"/>
        </w:rPr>
        <w:t xml:space="preserve"> </w:t>
      </w:r>
      <w:r>
        <w:rPr>
          <w:rFonts w:ascii="Arial" w:eastAsia="Times New Roman" w:hAnsi="Arial" w:cs="Arial"/>
        </w:rPr>
        <w:t>a</w:t>
      </w:r>
      <w:r w:rsidR="00954369">
        <w:rPr>
          <w:rFonts w:ascii="Arial" w:eastAsia="Times New Roman" w:hAnsi="Arial" w:cs="Arial"/>
        </w:rPr>
        <w:t xml:space="preserve">mple time </w:t>
      </w:r>
      <w:r w:rsidR="00511F02">
        <w:rPr>
          <w:rFonts w:ascii="Arial" w:eastAsia="Times New Roman" w:hAnsi="Arial" w:cs="Arial"/>
        </w:rPr>
        <w:t xml:space="preserve">to </w:t>
      </w:r>
      <w:r>
        <w:rPr>
          <w:rFonts w:ascii="Arial" w:eastAsia="Times New Roman" w:hAnsi="Arial" w:cs="Arial"/>
        </w:rPr>
        <w:t>consult</w:t>
      </w:r>
      <w:r w:rsidR="00511F02">
        <w:rPr>
          <w:rFonts w:ascii="Arial" w:eastAsia="Times New Roman" w:hAnsi="Arial" w:cs="Arial"/>
        </w:rPr>
        <w:t xml:space="preserve"> with an advisor</w:t>
      </w:r>
      <w:r w:rsidR="00CB29AD">
        <w:rPr>
          <w:rFonts w:ascii="Arial" w:eastAsia="Times New Roman" w:hAnsi="Arial" w:cs="Arial"/>
        </w:rPr>
        <w:t xml:space="preserve"> </w:t>
      </w:r>
      <w:r w:rsidR="00954369">
        <w:rPr>
          <w:rFonts w:ascii="Arial" w:eastAsia="Times New Roman" w:hAnsi="Arial" w:cs="Arial"/>
        </w:rPr>
        <w:t>on</w:t>
      </w:r>
      <w:r w:rsidR="00511F02">
        <w:rPr>
          <w:rFonts w:ascii="Arial" w:eastAsia="Times New Roman" w:hAnsi="Arial" w:cs="Arial"/>
        </w:rPr>
        <w:t xml:space="preserve"> whether Second Start is </w:t>
      </w:r>
      <w:r w:rsidR="00954369">
        <w:rPr>
          <w:rFonts w:ascii="Arial" w:eastAsia="Times New Roman" w:hAnsi="Arial" w:cs="Arial"/>
        </w:rPr>
        <w:t xml:space="preserve">an </w:t>
      </w:r>
      <w:r w:rsidR="00511F02">
        <w:rPr>
          <w:rFonts w:ascii="Arial" w:eastAsia="Times New Roman" w:hAnsi="Arial" w:cs="Arial"/>
        </w:rPr>
        <w:t>a</w:t>
      </w:r>
      <w:r w:rsidR="00954369">
        <w:rPr>
          <w:rFonts w:ascii="Arial" w:eastAsia="Times New Roman" w:hAnsi="Arial" w:cs="Arial"/>
        </w:rPr>
        <w:t>ppropriate option</w:t>
      </w:r>
      <w:r w:rsidR="00511F02">
        <w:rPr>
          <w:rFonts w:ascii="Arial" w:eastAsia="Times New Roman" w:hAnsi="Arial" w:cs="Arial"/>
        </w:rPr>
        <w:t>.</w:t>
      </w:r>
    </w:p>
    <w:p w:rsidR="00954369" w:rsidRDefault="00954369" w:rsidP="00954369">
      <w:pPr>
        <w:spacing w:after="0" w:line="240" w:lineRule="auto"/>
        <w:rPr>
          <w:rFonts w:ascii="Arial" w:eastAsia="Times New Roman" w:hAnsi="Arial" w:cs="Arial"/>
        </w:rPr>
      </w:pPr>
    </w:p>
    <w:p w:rsidR="00954369" w:rsidRPr="00954369" w:rsidRDefault="00954369" w:rsidP="00954369">
      <w:pPr>
        <w:spacing w:after="0" w:line="240" w:lineRule="auto"/>
        <w:rPr>
          <w:rFonts w:ascii="Arial" w:eastAsia="Times New Roman" w:hAnsi="Arial" w:cs="Arial"/>
          <w:b/>
        </w:rPr>
      </w:pPr>
      <w:r w:rsidRPr="00954369">
        <w:rPr>
          <w:rFonts w:ascii="Arial" w:eastAsia="Times New Roman" w:hAnsi="Arial" w:cs="Arial"/>
          <w:b/>
        </w:rPr>
        <w:t>Management of the extended deadline</w:t>
      </w:r>
      <w:r w:rsidR="0018454C">
        <w:rPr>
          <w:rFonts w:ascii="Arial" w:eastAsia="Times New Roman" w:hAnsi="Arial" w:cs="Arial"/>
          <w:b/>
        </w:rPr>
        <w:t xml:space="preserve"> </w:t>
      </w:r>
      <w:r w:rsidR="0018454C" w:rsidRPr="0018454C">
        <w:rPr>
          <w:rFonts w:ascii="Arial" w:eastAsia="Times New Roman" w:hAnsi="Arial" w:cs="Arial"/>
        </w:rPr>
        <w:t>(these procedures haven’t changed)</w:t>
      </w:r>
      <w:r w:rsidRPr="0018454C">
        <w:rPr>
          <w:rFonts w:ascii="Arial" w:eastAsia="Times New Roman" w:hAnsi="Arial" w:cs="Arial"/>
        </w:rPr>
        <w:t>:</w:t>
      </w:r>
    </w:p>
    <w:p w:rsidR="00954369" w:rsidRPr="003B4D57" w:rsidRDefault="00954369" w:rsidP="003B4D57">
      <w:pPr>
        <w:pStyle w:val="ListParagraph"/>
        <w:numPr>
          <w:ilvl w:val="0"/>
          <w:numId w:val="4"/>
        </w:numPr>
        <w:spacing w:after="0"/>
        <w:rPr>
          <w:rFonts w:ascii="Arial" w:eastAsia="Times New Roman" w:hAnsi="Arial" w:cs="Arial"/>
        </w:rPr>
      </w:pPr>
      <w:r w:rsidRPr="003B4D57">
        <w:rPr>
          <w:rFonts w:ascii="Arial" w:eastAsia="Times New Roman" w:hAnsi="Arial" w:cs="Arial"/>
        </w:rPr>
        <w:t xml:space="preserve">Students may be notified of their eligibility for Second Start in one of these ways: </w:t>
      </w:r>
    </w:p>
    <w:p w:rsidR="00954369" w:rsidRPr="00954369" w:rsidRDefault="00954369" w:rsidP="003B4D57">
      <w:pPr>
        <w:pStyle w:val="ListParagraph"/>
        <w:numPr>
          <w:ilvl w:val="0"/>
          <w:numId w:val="6"/>
        </w:numPr>
        <w:spacing w:after="0"/>
        <w:rPr>
          <w:rFonts w:ascii="Arial" w:eastAsia="Times New Roman" w:hAnsi="Arial" w:cs="Arial"/>
        </w:rPr>
      </w:pPr>
      <w:r w:rsidRPr="00954369">
        <w:rPr>
          <w:rFonts w:ascii="Arial" w:eastAsia="Times New Roman" w:hAnsi="Arial" w:cs="Arial"/>
        </w:rPr>
        <w:t xml:space="preserve">College advisors may pull Second Start reports from the Advisor Dashboard in UAccess Analytics identifying readmitted students who are eligible for Second Start, based on their length of absence (minimum of 36 months). Advisors will contact their students to inform them about the Second Start Policy. </w:t>
      </w:r>
    </w:p>
    <w:p w:rsidR="00954369" w:rsidRPr="00954369" w:rsidRDefault="00954369" w:rsidP="003B4D57">
      <w:pPr>
        <w:pStyle w:val="ListParagraph"/>
        <w:numPr>
          <w:ilvl w:val="0"/>
          <w:numId w:val="6"/>
        </w:numPr>
        <w:spacing w:after="0"/>
        <w:rPr>
          <w:rFonts w:ascii="Arial" w:eastAsia="Times New Roman" w:hAnsi="Arial" w:cs="Arial"/>
        </w:rPr>
      </w:pPr>
      <w:r w:rsidRPr="00954369">
        <w:rPr>
          <w:rFonts w:ascii="Arial" w:eastAsia="Times New Roman" w:hAnsi="Arial" w:cs="Arial"/>
        </w:rPr>
        <w:t xml:space="preserve">When college advisors review a student’s application for readmission, they may notify the student that participation in Second Start is a condition of readmission and that the student should meet with his/her academic advisor to apply. </w:t>
      </w:r>
    </w:p>
    <w:p w:rsidR="00954369" w:rsidRPr="00954369" w:rsidRDefault="00954369" w:rsidP="003B4D57">
      <w:pPr>
        <w:pStyle w:val="ListParagraph"/>
        <w:numPr>
          <w:ilvl w:val="0"/>
          <w:numId w:val="6"/>
        </w:numPr>
        <w:rPr>
          <w:rFonts w:ascii="Arial" w:eastAsia="Times New Roman" w:hAnsi="Arial" w:cs="Arial"/>
        </w:rPr>
      </w:pPr>
      <w:r w:rsidRPr="00954369">
        <w:rPr>
          <w:rFonts w:ascii="Arial" w:eastAsia="Times New Roman" w:hAnsi="Arial" w:cs="Arial"/>
        </w:rPr>
        <w:t xml:space="preserve">When eligible students meet with their advisor to discuss their first semester back and to get the advising hold removed, they may be encouraged to participate in Second Start. </w:t>
      </w:r>
    </w:p>
    <w:p w:rsidR="00954369" w:rsidRPr="003B4D57" w:rsidRDefault="00954369" w:rsidP="003B4D57">
      <w:pPr>
        <w:ind w:left="720"/>
        <w:mirrorIndents/>
        <w:rPr>
          <w:rFonts w:ascii="Arial" w:eastAsia="Times New Roman" w:hAnsi="Arial" w:cs="Arial"/>
        </w:rPr>
      </w:pPr>
      <w:r w:rsidRPr="003B4D57">
        <w:rPr>
          <w:rFonts w:ascii="Arial" w:eastAsia="Times New Roman" w:hAnsi="Arial" w:cs="Arial"/>
        </w:rPr>
        <w:t xml:space="preserve">2) In all cases, the academic advisor is the point of contact for a student to be enrolled in Second Start. </w:t>
      </w:r>
    </w:p>
    <w:p w:rsidR="00954369" w:rsidRPr="00954369" w:rsidRDefault="00954369" w:rsidP="003B4D57">
      <w:pPr>
        <w:pStyle w:val="ListParagraph"/>
        <w:numPr>
          <w:ilvl w:val="0"/>
          <w:numId w:val="7"/>
        </w:numPr>
        <w:spacing w:after="0"/>
        <w:rPr>
          <w:rFonts w:ascii="Arial" w:eastAsia="Times New Roman" w:hAnsi="Arial" w:cs="Arial"/>
        </w:rPr>
      </w:pPr>
      <w:r w:rsidRPr="00954369">
        <w:rPr>
          <w:rFonts w:ascii="Arial" w:eastAsia="Times New Roman" w:hAnsi="Arial" w:cs="Arial"/>
        </w:rPr>
        <w:t xml:space="preserve">The Second Start business processes and declaration form are available to advisors on the ARC website under </w:t>
      </w:r>
      <w:hyperlink r:id="rId7" w:anchor="s" w:history="1">
        <w:r w:rsidR="005A3710" w:rsidRPr="005A3710">
          <w:rPr>
            <w:rStyle w:val="Hyperlink"/>
            <w:rFonts w:ascii="Arial" w:eastAsia="Times New Roman" w:hAnsi="Arial" w:cs="Arial"/>
          </w:rPr>
          <w:t>Policies &amp; Procedures</w:t>
        </w:r>
        <w:r w:rsidRPr="005A3710">
          <w:rPr>
            <w:rStyle w:val="Hyperlink"/>
            <w:rFonts w:ascii="Arial" w:eastAsia="Times New Roman" w:hAnsi="Arial" w:cs="Arial"/>
          </w:rPr>
          <w:t>, F</w:t>
        </w:r>
        <w:r w:rsidRPr="005A3710">
          <w:rPr>
            <w:rStyle w:val="Hyperlink"/>
            <w:rFonts w:ascii="Arial" w:eastAsia="Times New Roman" w:hAnsi="Arial" w:cs="Arial"/>
          </w:rPr>
          <w:t>o</w:t>
        </w:r>
        <w:r w:rsidRPr="005A3710">
          <w:rPr>
            <w:rStyle w:val="Hyperlink"/>
            <w:rFonts w:ascii="Arial" w:eastAsia="Times New Roman" w:hAnsi="Arial" w:cs="Arial"/>
          </w:rPr>
          <w:t>rms &amp; Processes</w:t>
        </w:r>
      </w:hyperlink>
      <w:r w:rsidRPr="00954369">
        <w:rPr>
          <w:rFonts w:ascii="Arial" w:eastAsia="Times New Roman" w:hAnsi="Arial" w:cs="Arial"/>
        </w:rPr>
        <w:t xml:space="preserve">. </w:t>
      </w:r>
    </w:p>
    <w:p w:rsidR="00954369" w:rsidRPr="00954369" w:rsidRDefault="00954369" w:rsidP="003B4D57">
      <w:pPr>
        <w:pStyle w:val="ListParagraph"/>
        <w:numPr>
          <w:ilvl w:val="0"/>
          <w:numId w:val="7"/>
        </w:numPr>
        <w:spacing w:after="0"/>
        <w:rPr>
          <w:rFonts w:ascii="Arial" w:eastAsia="Times New Roman" w:hAnsi="Arial" w:cs="Arial"/>
        </w:rPr>
      </w:pPr>
      <w:r w:rsidRPr="00954369">
        <w:rPr>
          <w:rFonts w:ascii="Arial" w:eastAsia="Times New Roman" w:hAnsi="Arial" w:cs="Arial"/>
        </w:rPr>
        <w:t xml:space="preserve">For main campus students, the advisor will provide the declaration form, will have the student sign the participation agreement, and will deliver the form to the Registration Office no later than 5:00 PM on the </w:t>
      </w:r>
      <w:r w:rsidR="00B40E37">
        <w:rPr>
          <w:rFonts w:ascii="Arial" w:eastAsia="Times New Roman" w:hAnsi="Arial" w:cs="Arial"/>
        </w:rPr>
        <w:t xml:space="preserve">last </w:t>
      </w:r>
      <w:r w:rsidRPr="00954369">
        <w:rPr>
          <w:rFonts w:ascii="Arial" w:eastAsia="Times New Roman" w:hAnsi="Arial" w:cs="Arial"/>
        </w:rPr>
        <w:t xml:space="preserve">day </w:t>
      </w:r>
      <w:r w:rsidR="00B40E37">
        <w:rPr>
          <w:rFonts w:ascii="Arial" w:eastAsia="Times New Roman" w:hAnsi="Arial" w:cs="Arial"/>
        </w:rPr>
        <w:t>of classes (before the final exam period) of</w:t>
      </w:r>
      <w:r w:rsidRPr="00954369">
        <w:rPr>
          <w:rFonts w:ascii="Arial" w:eastAsia="Times New Roman" w:hAnsi="Arial" w:cs="Arial"/>
        </w:rPr>
        <w:t xml:space="preserve"> the student’s first term of readmission. </w:t>
      </w:r>
    </w:p>
    <w:p w:rsidR="00954369" w:rsidRPr="00954369" w:rsidRDefault="00954369" w:rsidP="003B4D57">
      <w:pPr>
        <w:pStyle w:val="ListParagraph"/>
        <w:numPr>
          <w:ilvl w:val="0"/>
          <w:numId w:val="7"/>
        </w:numPr>
        <w:rPr>
          <w:rFonts w:ascii="Arial" w:eastAsia="Times New Roman" w:hAnsi="Arial" w:cs="Arial"/>
        </w:rPr>
      </w:pPr>
      <w:r w:rsidRPr="00954369">
        <w:rPr>
          <w:rFonts w:ascii="Arial" w:eastAsia="Times New Roman" w:hAnsi="Arial" w:cs="Arial"/>
        </w:rPr>
        <w:t xml:space="preserve">For online or remote students, the advisor will ask the student to return the signed declaration form by email and will then forward or deliver the form to the Registration Office by the deadline. </w:t>
      </w:r>
    </w:p>
    <w:p w:rsidR="00954369" w:rsidRPr="003B4D57" w:rsidRDefault="00954369" w:rsidP="00B40E37">
      <w:pPr>
        <w:rPr>
          <w:rFonts w:ascii="Arial" w:eastAsia="Times New Roman" w:hAnsi="Arial" w:cs="Arial"/>
        </w:rPr>
      </w:pPr>
      <w:r w:rsidRPr="003B4D57">
        <w:rPr>
          <w:rFonts w:ascii="Arial" w:eastAsia="Times New Roman" w:hAnsi="Arial" w:cs="Arial"/>
        </w:rPr>
        <w:t xml:space="preserve">3) </w:t>
      </w:r>
      <w:bookmarkStart w:id="0" w:name="_GoBack"/>
      <w:bookmarkEnd w:id="0"/>
      <w:r w:rsidRPr="003B4D57">
        <w:rPr>
          <w:rFonts w:ascii="Arial" w:eastAsia="Times New Roman" w:hAnsi="Arial" w:cs="Arial"/>
        </w:rPr>
        <w:t xml:space="preserve">The Registration Office will place a service indicator on the student’s UAccess record on the term of readmission. This service indicator will be used to track the student’s progress towards the 12-unit/2.500 GPA requirement. The student’s record will be monitored at the end of each major term to determine whether the 12-unit minimum has been met. When the minimum has been met, the record will be adjusted. </w:t>
      </w:r>
    </w:p>
    <w:p w:rsidR="00954369" w:rsidRPr="00954369" w:rsidRDefault="00954369" w:rsidP="003B4D57">
      <w:pPr>
        <w:pStyle w:val="ListParagraph"/>
        <w:ind w:left="0"/>
        <w:rPr>
          <w:rFonts w:ascii="Arial" w:eastAsia="Times New Roman" w:hAnsi="Arial" w:cs="Arial"/>
        </w:rPr>
      </w:pPr>
      <w:r w:rsidRPr="00954369">
        <w:rPr>
          <w:rFonts w:ascii="Arial" w:eastAsia="Times New Roman" w:hAnsi="Arial" w:cs="Arial"/>
        </w:rPr>
        <w:t xml:space="preserve">4) If the 12-unit minimum is not met within 12 months, the student will become ineligible for the Second Start benefit, but will remain actively enrolled in the UA. </w:t>
      </w:r>
    </w:p>
    <w:p w:rsidR="00A86582" w:rsidRPr="00A86582" w:rsidRDefault="00A86582" w:rsidP="00A86582">
      <w:pPr>
        <w:spacing w:after="0" w:line="240" w:lineRule="auto"/>
        <w:rPr>
          <w:rFonts w:ascii="Arial" w:eastAsia="Calibri" w:hAnsi="Arial" w:cs="Arial"/>
        </w:rPr>
      </w:pPr>
      <w:r w:rsidRPr="00A86582">
        <w:rPr>
          <w:rFonts w:ascii="Arial" w:eastAsia="Times New Roman" w:hAnsi="Arial" w:cs="Arial"/>
          <w:b/>
        </w:rPr>
        <w:t>Questions</w:t>
      </w:r>
      <w:r w:rsidRPr="00A86582">
        <w:rPr>
          <w:rFonts w:ascii="Arial" w:eastAsia="Times New Roman" w:hAnsi="Arial" w:cs="Arial"/>
        </w:rPr>
        <w:t xml:space="preserve"> may be addressed to</w:t>
      </w:r>
      <w:r w:rsidR="004A5DF7" w:rsidRPr="004A5DF7">
        <w:rPr>
          <w:rFonts w:ascii="Arial" w:eastAsia="Times New Roman" w:hAnsi="Arial" w:cs="Arial"/>
        </w:rPr>
        <w:t>:</w:t>
      </w:r>
      <w:r w:rsidRPr="00A86582">
        <w:rPr>
          <w:rFonts w:ascii="Arial" w:eastAsia="Times New Roman" w:hAnsi="Arial" w:cs="Arial"/>
        </w:rPr>
        <w:t xml:space="preserve"> </w:t>
      </w:r>
    </w:p>
    <w:p w:rsidR="00511876" w:rsidRPr="004A5DF7" w:rsidRDefault="004A5DF7" w:rsidP="004A5DF7">
      <w:pPr>
        <w:pStyle w:val="ListParagraph"/>
        <w:numPr>
          <w:ilvl w:val="0"/>
          <w:numId w:val="2"/>
        </w:numPr>
        <w:rPr>
          <w:rFonts w:ascii="Arial" w:hAnsi="Arial" w:cs="Arial"/>
        </w:rPr>
      </w:pPr>
      <w:r w:rsidRPr="004A5DF7">
        <w:rPr>
          <w:rFonts w:ascii="Arial" w:hAnsi="Arial" w:cs="Arial"/>
        </w:rPr>
        <w:t xml:space="preserve">Roxie Catts, Advising Resource Center, at 626-7988, or </w:t>
      </w:r>
      <w:hyperlink r:id="rId8" w:history="1">
        <w:r w:rsidRPr="004A5DF7">
          <w:rPr>
            <w:rStyle w:val="Hyperlink"/>
            <w:rFonts w:ascii="Arial" w:hAnsi="Arial" w:cs="Arial"/>
          </w:rPr>
          <w:t>catts@email.arizona.edu</w:t>
        </w:r>
      </w:hyperlink>
      <w:r w:rsidR="00954369">
        <w:rPr>
          <w:rFonts w:ascii="Arial" w:hAnsi="Arial" w:cs="Arial"/>
        </w:rPr>
        <w:t xml:space="preserve"> about specific readmitted student situations</w:t>
      </w:r>
      <w:r w:rsidRPr="004A5DF7">
        <w:rPr>
          <w:rFonts w:ascii="Arial" w:hAnsi="Arial" w:cs="Arial"/>
        </w:rPr>
        <w:t>.</w:t>
      </w:r>
    </w:p>
    <w:p w:rsidR="004A5DF7" w:rsidRPr="004A5DF7" w:rsidRDefault="004A5DF7" w:rsidP="004A5DF7">
      <w:pPr>
        <w:pStyle w:val="ListParagraph"/>
        <w:numPr>
          <w:ilvl w:val="0"/>
          <w:numId w:val="2"/>
        </w:numPr>
        <w:rPr>
          <w:rFonts w:ascii="Arial" w:hAnsi="Arial" w:cs="Arial"/>
        </w:rPr>
      </w:pPr>
      <w:r w:rsidRPr="004A5DF7">
        <w:rPr>
          <w:rFonts w:ascii="Arial" w:hAnsi="Arial" w:cs="Arial"/>
        </w:rPr>
        <w:t xml:space="preserve">Angelica Miranda, Office of the Registrar, at 621-7809, or </w:t>
      </w:r>
      <w:hyperlink r:id="rId9" w:history="1">
        <w:r w:rsidRPr="004A5DF7">
          <w:rPr>
            <w:rStyle w:val="Hyperlink"/>
            <w:rFonts w:ascii="Arial" w:hAnsi="Arial" w:cs="Arial"/>
          </w:rPr>
          <w:t>ammiranda@email.arizona.edu</w:t>
        </w:r>
      </w:hyperlink>
      <w:r w:rsidRPr="004A5DF7">
        <w:rPr>
          <w:rFonts w:ascii="Arial" w:hAnsi="Arial" w:cs="Arial"/>
        </w:rPr>
        <w:t xml:space="preserve"> about management of the policy.</w:t>
      </w:r>
    </w:p>
    <w:sectPr w:rsidR="004A5DF7" w:rsidRPr="004A5DF7" w:rsidSect="00191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85DAA"/>
    <w:multiLevelType w:val="multilevel"/>
    <w:tmpl w:val="28E08D1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 w15:restartNumberingAfterBreak="0">
    <w:nsid w:val="444F5BD8"/>
    <w:multiLevelType w:val="hybridMultilevel"/>
    <w:tmpl w:val="49E64F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3621912"/>
    <w:multiLevelType w:val="hybridMultilevel"/>
    <w:tmpl w:val="489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615EC"/>
    <w:multiLevelType w:val="hybridMultilevel"/>
    <w:tmpl w:val="F3CA1388"/>
    <w:lvl w:ilvl="0" w:tplc="F28A62F6">
      <w:start w:val="1"/>
      <w:numFmt w:val="decimal"/>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3138F9"/>
    <w:multiLevelType w:val="multilevel"/>
    <w:tmpl w:val="37681E18"/>
    <w:lvl w:ilvl="0">
      <w:start w:val="1"/>
      <w:numFmt w:val="decimal"/>
      <w:lvlText w:val="%1)"/>
      <w:lvlJc w:val="left"/>
      <w:pPr>
        <w:ind w:left="780" w:hanging="360"/>
      </w:pPr>
      <w:rPr>
        <w:rFonts w:ascii="Arial" w:eastAsia="Times New Roman" w:hAnsi="Arial" w:cs="Arial"/>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703311DA"/>
    <w:multiLevelType w:val="hybridMultilevel"/>
    <w:tmpl w:val="F9B06E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04C558E"/>
    <w:multiLevelType w:val="hybridMultilevel"/>
    <w:tmpl w:val="75747E34"/>
    <w:lvl w:ilvl="0" w:tplc="41829FBE">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82"/>
    <w:rsid w:val="00033392"/>
    <w:rsid w:val="00130365"/>
    <w:rsid w:val="0018454C"/>
    <w:rsid w:val="003B4D57"/>
    <w:rsid w:val="004972B6"/>
    <w:rsid w:val="004A5DF7"/>
    <w:rsid w:val="00511F02"/>
    <w:rsid w:val="005A3710"/>
    <w:rsid w:val="006B71D9"/>
    <w:rsid w:val="0070645C"/>
    <w:rsid w:val="00855593"/>
    <w:rsid w:val="00954369"/>
    <w:rsid w:val="009D34D8"/>
    <w:rsid w:val="00A71FAA"/>
    <w:rsid w:val="00A86582"/>
    <w:rsid w:val="00B31424"/>
    <w:rsid w:val="00B40E37"/>
    <w:rsid w:val="00B737F0"/>
    <w:rsid w:val="00CB29AD"/>
    <w:rsid w:val="00CE7A54"/>
    <w:rsid w:val="00D161AE"/>
    <w:rsid w:val="00E85F86"/>
    <w:rsid w:val="00FA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0CA3"/>
  <w15:chartTrackingRefBased/>
  <w15:docId w15:val="{9F4FDF16-AC8C-431E-86D3-EA380080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F86"/>
    <w:rPr>
      <w:color w:val="0563C1" w:themeColor="hyperlink"/>
      <w:u w:val="single"/>
    </w:rPr>
  </w:style>
  <w:style w:type="paragraph" w:styleId="ListParagraph">
    <w:name w:val="List Paragraph"/>
    <w:basedOn w:val="Normal"/>
    <w:uiPriority w:val="34"/>
    <w:qFormat/>
    <w:rsid w:val="004A5DF7"/>
    <w:pPr>
      <w:ind w:left="720"/>
      <w:contextualSpacing/>
    </w:pPr>
  </w:style>
  <w:style w:type="character" w:styleId="FollowedHyperlink">
    <w:name w:val="FollowedHyperlink"/>
    <w:basedOn w:val="DefaultParagraphFont"/>
    <w:uiPriority w:val="99"/>
    <w:semiHidden/>
    <w:unhideWhenUsed/>
    <w:rsid w:val="00B40E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47204">
      <w:bodyDiv w:val="1"/>
      <w:marLeft w:val="0"/>
      <w:marRight w:val="0"/>
      <w:marTop w:val="0"/>
      <w:marBottom w:val="0"/>
      <w:divBdr>
        <w:top w:val="none" w:sz="0" w:space="0" w:color="auto"/>
        <w:left w:val="none" w:sz="0" w:space="0" w:color="auto"/>
        <w:bottom w:val="none" w:sz="0" w:space="0" w:color="auto"/>
        <w:right w:val="none" w:sz="0" w:space="0" w:color="auto"/>
      </w:divBdr>
      <w:divsChild>
        <w:div w:id="1863782362">
          <w:marLeft w:val="0"/>
          <w:marRight w:val="0"/>
          <w:marTop w:val="0"/>
          <w:marBottom w:val="0"/>
          <w:divBdr>
            <w:top w:val="none" w:sz="0" w:space="0" w:color="auto"/>
            <w:left w:val="none" w:sz="0" w:space="0" w:color="auto"/>
            <w:bottom w:val="none" w:sz="0" w:space="0" w:color="auto"/>
            <w:right w:val="none" w:sz="0" w:space="0" w:color="auto"/>
          </w:divBdr>
          <w:divsChild>
            <w:div w:id="1330868562">
              <w:marLeft w:val="0"/>
              <w:marRight w:val="0"/>
              <w:marTop w:val="0"/>
              <w:marBottom w:val="0"/>
              <w:divBdr>
                <w:top w:val="none" w:sz="0" w:space="0" w:color="auto"/>
                <w:left w:val="none" w:sz="0" w:space="0" w:color="auto"/>
                <w:bottom w:val="none" w:sz="0" w:space="0" w:color="auto"/>
                <w:right w:val="none" w:sz="0" w:space="0" w:color="auto"/>
              </w:divBdr>
              <w:divsChild>
                <w:div w:id="1406806478">
                  <w:marLeft w:val="-240"/>
                  <w:marRight w:val="-240"/>
                  <w:marTop w:val="0"/>
                  <w:marBottom w:val="0"/>
                  <w:divBdr>
                    <w:top w:val="none" w:sz="0" w:space="0" w:color="auto"/>
                    <w:left w:val="none" w:sz="0" w:space="0" w:color="auto"/>
                    <w:bottom w:val="none" w:sz="0" w:space="0" w:color="auto"/>
                    <w:right w:val="none" w:sz="0" w:space="0" w:color="auto"/>
                  </w:divBdr>
                  <w:divsChild>
                    <w:div w:id="1884294681">
                      <w:marLeft w:val="0"/>
                      <w:marRight w:val="0"/>
                      <w:marTop w:val="0"/>
                      <w:marBottom w:val="0"/>
                      <w:divBdr>
                        <w:top w:val="none" w:sz="0" w:space="0" w:color="auto"/>
                        <w:left w:val="none" w:sz="0" w:space="0" w:color="auto"/>
                        <w:bottom w:val="none" w:sz="0" w:space="0" w:color="auto"/>
                        <w:right w:val="none" w:sz="0" w:space="0" w:color="auto"/>
                      </w:divBdr>
                      <w:divsChild>
                        <w:div w:id="1794253182">
                          <w:marLeft w:val="0"/>
                          <w:marRight w:val="0"/>
                          <w:marTop w:val="0"/>
                          <w:marBottom w:val="0"/>
                          <w:divBdr>
                            <w:top w:val="none" w:sz="0" w:space="0" w:color="auto"/>
                            <w:left w:val="none" w:sz="0" w:space="0" w:color="auto"/>
                            <w:bottom w:val="none" w:sz="0" w:space="0" w:color="auto"/>
                            <w:right w:val="none" w:sz="0" w:space="0" w:color="auto"/>
                          </w:divBdr>
                          <w:divsChild>
                            <w:div w:id="19525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ts@email.arizona.edu" TargetMode="External"/><Relationship Id="rId3" Type="http://schemas.openxmlformats.org/officeDocument/2006/relationships/settings" Target="settings.xml"/><Relationship Id="rId7" Type="http://schemas.openxmlformats.org/officeDocument/2006/relationships/hyperlink" Target="http://advising.arizona.edu/content/policies-procedures/forms-proces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arizona.edu/policy/graduation-grade-averages-and-credit-requirements" TargetMode="External"/><Relationship Id="rId11" Type="http://schemas.openxmlformats.org/officeDocument/2006/relationships/theme" Target="theme/theme1.xml"/><Relationship Id="rId5" Type="http://schemas.openxmlformats.org/officeDocument/2006/relationships/hyperlink" Target="https://catalog.arizona.edu/policy/second-start-readmission-polic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miranda@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2</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 Celeste F.</dc:creator>
  <cp:keywords/>
  <dc:description/>
  <cp:lastModifiedBy>Pardee, Celeste F.</cp:lastModifiedBy>
  <cp:revision>8</cp:revision>
  <dcterms:created xsi:type="dcterms:W3CDTF">2019-04-11T18:22:00Z</dcterms:created>
  <dcterms:modified xsi:type="dcterms:W3CDTF">2019-04-17T23:53:00Z</dcterms:modified>
</cp:coreProperties>
</file>