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81" w:rsidRPr="00BB7FBF" w:rsidRDefault="000E5F81" w:rsidP="000E5F81">
      <w:pPr>
        <w:rPr>
          <w:rFonts w:ascii="Arial" w:eastAsia="Times New Roman" w:hAnsi="Arial" w:cs="Arial"/>
          <w:b/>
        </w:rPr>
      </w:pPr>
      <w:r w:rsidRPr="00BB7FBF">
        <w:rPr>
          <w:rFonts w:ascii="Arial" w:eastAsia="Times New Roman" w:hAnsi="Arial" w:cs="Arial"/>
          <w:b/>
        </w:rPr>
        <w:t>MEMORANDUM</w:t>
      </w:r>
    </w:p>
    <w:p w:rsidR="000E5F81" w:rsidRPr="00BB7FBF" w:rsidRDefault="000E5F81" w:rsidP="000E5F81">
      <w:pPr>
        <w:rPr>
          <w:rFonts w:ascii="Arial" w:eastAsia="Times New Roman" w:hAnsi="Arial" w:cs="Arial"/>
        </w:rPr>
      </w:pPr>
    </w:p>
    <w:p w:rsidR="000E5F81" w:rsidRPr="00BB7FBF" w:rsidRDefault="000E5F81" w:rsidP="000E5F81">
      <w:pPr>
        <w:rPr>
          <w:rFonts w:ascii="Arial" w:eastAsia="Times New Roman" w:hAnsi="Arial" w:cs="Arial"/>
        </w:rPr>
      </w:pPr>
      <w:r w:rsidRPr="00BB7FBF">
        <w:rPr>
          <w:rFonts w:ascii="Arial" w:eastAsia="Times New Roman" w:hAnsi="Arial" w:cs="Arial"/>
          <w:b/>
        </w:rPr>
        <w:t>DATE:</w:t>
      </w:r>
      <w:r w:rsidR="00E22DC4">
        <w:rPr>
          <w:rFonts w:ascii="Arial" w:eastAsia="Times New Roman" w:hAnsi="Arial" w:cs="Arial"/>
        </w:rPr>
        <w:tab/>
      </w:r>
      <w:r w:rsidR="00E22DC4">
        <w:rPr>
          <w:rFonts w:ascii="Arial" w:eastAsia="Times New Roman" w:hAnsi="Arial" w:cs="Arial"/>
        </w:rPr>
        <w:tab/>
        <w:t>November</w:t>
      </w:r>
      <w:r w:rsidRPr="00BB7FBF">
        <w:rPr>
          <w:rFonts w:ascii="Arial" w:eastAsia="Times New Roman" w:hAnsi="Arial" w:cs="Arial"/>
        </w:rPr>
        <w:t xml:space="preserve"> </w:t>
      </w:r>
      <w:r w:rsidR="00E22DC4">
        <w:rPr>
          <w:rFonts w:ascii="Arial" w:eastAsia="Times New Roman" w:hAnsi="Arial" w:cs="Arial"/>
        </w:rPr>
        <w:t>15</w:t>
      </w:r>
      <w:r w:rsidRPr="00BB7FBF">
        <w:rPr>
          <w:rFonts w:ascii="Arial" w:eastAsia="Times New Roman" w:hAnsi="Arial" w:cs="Arial"/>
        </w:rPr>
        <w:t>, 201</w:t>
      </w:r>
      <w:r w:rsidR="00E22DC4">
        <w:rPr>
          <w:rFonts w:ascii="Arial" w:eastAsia="Times New Roman" w:hAnsi="Arial" w:cs="Arial"/>
        </w:rPr>
        <w:t>8</w:t>
      </w:r>
    </w:p>
    <w:p w:rsidR="000E5F81" w:rsidRPr="00BB7FBF" w:rsidRDefault="000E5F81" w:rsidP="000E5F81">
      <w:pPr>
        <w:rPr>
          <w:rFonts w:ascii="Arial" w:eastAsia="Times New Roman" w:hAnsi="Arial" w:cs="Arial"/>
        </w:rPr>
      </w:pPr>
    </w:p>
    <w:p w:rsidR="000E5F81" w:rsidRPr="00BB7FBF" w:rsidRDefault="000E5F81" w:rsidP="000E5F81">
      <w:pPr>
        <w:rPr>
          <w:rFonts w:ascii="Arial" w:eastAsia="Times New Roman" w:hAnsi="Arial" w:cs="Arial"/>
        </w:rPr>
      </w:pPr>
      <w:r w:rsidRPr="00BB7FBF">
        <w:rPr>
          <w:rFonts w:ascii="Arial" w:eastAsia="Times New Roman" w:hAnsi="Arial" w:cs="Arial"/>
          <w:b/>
        </w:rPr>
        <w:t>TO:</w:t>
      </w:r>
      <w:r w:rsidR="00E22DC4">
        <w:rPr>
          <w:rFonts w:ascii="Arial" w:eastAsia="Times New Roman" w:hAnsi="Arial" w:cs="Arial"/>
        </w:rPr>
        <w:tab/>
      </w:r>
      <w:r w:rsidR="00E22DC4">
        <w:rPr>
          <w:rFonts w:ascii="Arial" w:eastAsia="Times New Roman" w:hAnsi="Arial" w:cs="Arial"/>
        </w:rPr>
        <w:tab/>
        <w:t xml:space="preserve">All University of Arizona Faculty and Academic </w:t>
      </w:r>
      <w:r w:rsidRPr="00BB7FBF">
        <w:rPr>
          <w:rFonts w:ascii="Arial" w:eastAsia="Times New Roman" w:hAnsi="Arial" w:cs="Arial"/>
        </w:rPr>
        <w:t>Advisors</w:t>
      </w:r>
    </w:p>
    <w:p w:rsidR="000E5F81" w:rsidRPr="00BB7FBF" w:rsidRDefault="000E5F81" w:rsidP="000E5F81">
      <w:pPr>
        <w:rPr>
          <w:rFonts w:ascii="Arial" w:eastAsia="Times New Roman" w:hAnsi="Arial" w:cs="Arial"/>
        </w:rPr>
      </w:pPr>
    </w:p>
    <w:p w:rsidR="000E5F81" w:rsidRPr="00BB7FBF" w:rsidRDefault="000E5F81" w:rsidP="000E5F81">
      <w:pPr>
        <w:ind w:left="1440" w:hanging="1440"/>
        <w:rPr>
          <w:rFonts w:ascii="Arial" w:eastAsia="Times New Roman" w:hAnsi="Arial" w:cs="Arial"/>
        </w:rPr>
      </w:pPr>
      <w:r w:rsidRPr="00BB7FBF">
        <w:rPr>
          <w:rFonts w:ascii="Arial" w:eastAsia="Times New Roman" w:hAnsi="Arial" w:cs="Arial"/>
          <w:b/>
        </w:rPr>
        <w:t>FROM:</w:t>
      </w:r>
      <w:r w:rsidR="00E22DC4">
        <w:rPr>
          <w:rFonts w:ascii="Arial" w:eastAsia="Times New Roman" w:hAnsi="Arial" w:cs="Arial"/>
        </w:rPr>
        <w:tab/>
        <w:t>Neel Ghosh</w:t>
      </w:r>
      <w:r w:rsidRPr="00BB7FBF">
        <w:rPr>
          <w:rFonts w:ascii="Arial" w:eastAsia="Times New Roman" w:hAnsi="Arial" w:cs="Arial"/>
        </w:rPr>
        <w:t>, Chair, Undergraduate Council</w:t>
      </w:r>
      <w:r w:rsidR="00285817">
        <w:rPr>
          <w:rFonts w:ascii="Arial" w:eastAsia="Times New Roman" w:hAnsi="Arial" w:cs="Arial"/>
        </w:rPr>
        <w:t xml:space="preserve"> (UGC)</w:t>
      </w:r>
      <w:r w:rsidRPr="00BB7FBF">
        <w:rPr>
          <w:rFonts w:ascii="Arial" w:eastAsia="Times New Roman" w:hAnsi="Arial" w:cs="Arial"/>
        </w:rPr>
        <w:t xml:space="preserve"> </w:t>
      </w:r>
    </w:p>
    <w:p w:rsidR="000E5F81" w:rsidRPr="00BB7FBF" w:rsidRDefault="000E5F81" w:rsidP="000E5F81">
      <w:pPr>
        <w:rPr>
          <w:rFonts w:ascii="Arial" w:eastAsia="Times New Roman" w:hAnsi="Arial" w:cs="Arial"/>
        </w:rPr>
      </w:pPr>
      <w:r w:rsidRPr="00BB7FBF">
        <w:rPr>
          <w:rFonts w:ascii="Arial" w:eastAsia="Times New Roman" w:hAnsi="Arial" w:cs="Arial"/>
        </w:rPr>
        <w:tab/>
      </w:r>
      <w:r w:rsidRPr="00BB7FBF">
        <w:rPr>
          <w:rFonts w:ascii="Arial" w:eastAsia="Times New Roman" w:hAnsi="Arial" w:cs="Arial"/>
        </w:rPr>
        <w:tab/>
        <w:t>Celeste Pardee, Assistant Director for Academic Policies/Organizations</w:t>
      </w:r>
    </w:p>
    <w:p w:rsidR="000E5F81" w:rsidRPr="00BB7FBF" w:rsidRDefault="000E5F81" w:rsidP="000E5F81">
      <w:pPr>
        <w:rPr>
          <w:rFonts w:ascii="Arial" w:eastAsia="Times New Roman" w:hAnsi="Arial" w:cs="Arial"/>
        </w:rPr>
      </w:pPr>
    </w:p>
    <w:p w:rsidR="000E5F81" w:rsidRPr="00BB7FBF" w:rsidRDefault="00E22DC4" w:rsidP="000E5F81">
      <w:pPr>
        <w:rPr>
          <w:rFonts w:ascii="Arial" w:eastAsia="Times New Roman" w:hAnsi="Arial" w:cs="Arial"/>
          <w:b/>
        </w:rPr>
      </w:pPr>
      <w:r>
        <w:rPr>
          <w:rFonts w:ascii="Arial" w:eastAsia="Times New Roman" w:hAnsi="Arial" w:cs="Arial"/>
          <w:b/>
        </w:rPr>
        <w:t>RE:</w:t>
      </w:r>
      <w:r>
        <w:rPr>
          <w:rFonts w:ascii="Arial" w:eastAsia="Times New Roman" w:hAnsi="Arial" w:cs="Arial"/>
          <w:b/>
        </w:rPr>
        <w:tab/>
      </w:r>
      <w:r>
        <w:rPr>
          <w:rFonts w:ascii="Arial" w:eastAsia="Times New Roman" w:hAnsi="Arial" w:cs="Arial"/>
          <w:b/>
        </w:rPr>
        <w:tab/>
        <w:t>Undergraduate Transfer Credit Policy amendments</w:t>
      </w:r>
      <w:r w:rsidR="000E5F81" w:rsidRPr="00BB7FBF">
        <w:rPr>
          <w:rFonts w:ascii="Arial" w:eastAsia="Times New Roman" w:hAnsi="Arial" w:cs="Arial"/>
          <w:b/>
        </w:rPr>
        <w:t xml:space="preserve"> </w:t>
      </w:r>
    </w:p>
    <w:p w:rsidR="000E5F81" w:rsidRPr="00BB7FBF" w:rsidRDefault="000E5F81" w:rsidP="000E5F81">
      <w:pPr>
        <w:rPr>
          <w:rFonts w:ascii="Arial" w:eastAsia="Times New Roman" w:hAnsi="Arial" w:cs="Arial"/>
          <w:b/>
        </w:rPr>
      </w:pPr>
    </w:p>
    <w:p w:rsidR="000E5F81" w:rsidRPr="00BB7FBF" w:rsidRDefault="00285817" w:rsidP="000E5F81">
      <w:pPr>
        <w:rPr>
          <w:rFonts w:ascii="Arial" w:eastAsia="Times New Roman" w:hAnsi="Arial" w:cs="Arial"/>
        </w:rPr>
      </w:pPr>
      <w:r>
        <w:rPr>
          <w:rFonts w:ascii="Arial" w:eastAsia="Times New Roman" w:hAnsi="Arial" w:cs="Arial"/>
        </w:rPr>
        <w:t>Addit</w:t>
      </w:r>
      <w:r w:rsidR="00E22DC4">
        <w:rPr>
          <w:rFonts w:ascii="Arial" w:eastAsia="Times New Roman" w:hAnsi="Arial" w:cs="Arial"/>
        </w:rPr>
        <w:t>ions to the University’s undergraduate transfer policies—</w:t>
      </w:r>
      <w:r w:rsidR="00587EC1">
        <w:rPr>
          <w:rFonts w:ascii="Arial" w:eastAsia="Times New Roman" w:hAnsi="Arial" w:cs="Arial"/>
        </w:rPr>
        <w:t xml:space="preserve">(1) </w:t>
      </w:r>
      <w:r w:rsidR="00E22DC4">
        <w:rPr>
          <w:rFonts w:ascii="Arial" w:eastAsia="Times New Roman" w:hAnsi="Arial" w:cs="Arial"/>
        </w:rPr>
        <w:t>to accept course work from non-regionally accredited institutions</w:t>
      </w:r>
      <w:r w:rsidR="00587EC1">
        <w:rPr>
          <w:rFonts w:ascii="Arial" w:eastAsia="Times New Roman" w:hAnsi="Arial" w:cs="Arial"/>
        </w:rPr>
        <w:t>,</w:t>
      </w:r>
      <w:r w:rsidR="00E22DC4">
        <w:rPr>
          <w:rFonts w:ascii="Arial" w:eastAsia="Times New Roman" w:hAnsi="Arial" w:cs="Arial"/>
        </w:rPr>
        <w:t xml:space="preserve"> and </w:t>
      </w:r>
      <w:r w:rsidR="00587EC1">
        <w:rPr>
          <w:rFonts w:ascii="Arial" w:eastAsia="Times New Roman" w:hAnsi="Arial" w:cs="Arial"/>
        </w:rPr>
        <w:t xml:space="preserve">(2) </w:t>
      </w:r>
      <w:r w:rsidR="00E22DC4">
        <w:rPr>
          <w:rFonts w:ascii="Arial" w:eastAsia="Times New Roman" w:hAnsi="Arial" w:cs="Arial"/>
        </w:rPr>
        <w:t>to award credit for prior learning</w:t>
      </w:r>
      <w:r w:rsidR="00D02CA4">
        <w:rPr>
          <w:rFonts w:ascii="Arial" w:eastAsia="Times New Roman" w:hAnsi="Arial" w:cs="Arial"/>
        </w:rPr>
        <w:t>—</w:t>
      </w:r>
      <w:r>
        <w:rPr>
          <w:rFonts w:ascii="Arial" w:eastAsia="Times New Roman" w:hAnsi="Arial" w:cs="Arial"/>
        </w:rPr>
        <w:t>were</w:t>
      </w:r>
      <w:r w:rsidR="00D02CA4">
        <w:rPr>
          <w:rFonts w:ascii="Arial" w:eastAsia="Times New Roman" w:hAnsi="Arial" w:cs="Arial"/>
        </w:rPr>
        <w:t xml:space="preserve"> </w:t>
      </w:r>
      <w:r w:rsidR="00C10B7D" w:rsidRPr="00BB7FBF">
        <w:rPr>
          <w:rFonts w:ascii="Arial" w:eastAsia="Times New Roman" w:hAnsi="Arial" w:cs="Arial"/>
        </w:rPr>
        <w:t xml:space="preserve">proposed by the Office of </w:t>
      </w:r>
      <w:r w:rsidR="00D02CA4">
        <w:rPr>
          <w:rFonts w:ascii="Arial" w:eastAsia="Times New Roman" w:hAnsi="Arial" w:cs="Arial"/>
        </w:rPr>
        <w:t>Transfer Credit &amp; Articulation in March 2018.  W</w:t>
      </w:r>
      <w:r w:rsidR="00C10B7D" w:rsidRPr="00BB7FBF">
        <w:rPr>
          <w:rFonts w:ascii="Arial" w:eastAsia="Times New Roman" w:hAnsi="Arial" w:cs="Arial"/>
        </w:rPr>
        <w:t>it</w:t>
      </w:r>
      <w:r w:rsidR="00297311" w:rsidRPr="00BB7FBF">
        <w:rPr>
          <w:rFonts w:ascii="Arial" w:eastAsia="Times New Roman" w:hAnsi="Arial" w:cs="Arial"/>
        </w:rPr>
        <w:t xml:space="preserve">h input from </w:t>
      </w:r>
      <w:r>
        <w:rPr>
          <w:rFonts w:ascii="Arial" w:eastAsia="Times New Roman" w:hAnsi="Arial" w:cs="Arial"/>
        </w:rPr>
        <w:t xml:space="preserve">UGC </w:t>
      </w:r>
      <w:r w:rsidR="00D02CA4">
        <w:rPr>
          <w:rFonts w:ascii="Arial" w:eastAsia="Times New Roman" w:hAnsi="Arial" w:cs="Arial"/>
        </w:rPr>
        <w:t>facul</w:t>
      </w:r>
      <w:r>
        <w:rPr>
          <w:rFonts w:ascii="Arial" w:eastAsia="Times New Roman" w:hAnsi="Arial" w:cs="Arial"/>
        </w:rPr>
        <w:t>ty and student representatives</w:t>
      </w:r>
      <w:r w:rsidR="00C10B7D" w:rsidRPr="00BB7FBF">
        <w:rPr>
          <w:rFonts w:ascii="Arial" w:eastAsia="Times New Roman" w:hAnsi="Arial" w:cs="Arial"/>
        </w:rPr>
        <w:t>, t</w:t>
      </w:r>
      <w:r w:rsidR="000E5F81" w:rsidRPr="00BB7FBF">
        <w:rPr>
          <w:rFonts w:ascii="Arial" w:eastAsia="Times New Roman" w:hAnsi="Arial" w:cs="Arial"/>
        </w:rPr>
        <w:t xml:space="preserve">he </w:t>
      </w:r>
      <w:r>
        <w:rPr>
          <w:rFonts w:ascii="Arial" w:eastAsia="Times New Roman" w:hAnsi="Arial" w:cs="Arial"/>
        </w:rPr>
        <w:t xml:space="preserve">Council </w:t>
      </w:r>
      <w:r w:rsidR="003D4750">
        <w:rPr>
          <w:rFonts w:ascii="Arial" w:eastAsia="Times New Roman" w:hAnsi="Arial" w:cs="Arial"/>
        </w:rPr>
        <w:t>made a few revisions</w:t>
      </w:r>
      <w:r>
        <w:rPr>
          <w:rFonts w:ascii="Arial" w:eastAsia="Times New Roman" w:hAnsi="Arial" w:cs="Arial"/>
        </w:rPr>
        <w:t xml:space="preserve"> </w:t>
      </w:r>
      <w:r w:rsidR="00297311" w:rsidRPr="00BB7FBF">
        <w:rPr>
          <w:rFonts w:ascii="Arial" w:eastAsia="Times New Roman" w:hAnsi="Arial" w:cs="Arial"/>
        </w:rPr>
        <w:t>before pass</w:t>
      </w:r>
      <w:r w:rsidR="003D4750">
        <w:rPr>
          <w:rFonts w:ascii="Arial" w:eastAsia="Times New Roman" w:hAnsi="Arial" w:cs="Arial"/>
        </w:rPr>
        <w:t>ing the proposal</w:t>
      </w:r>
      <w:r w:rsidR="000E5F81" w:rsidRPr="00BB7FBF">
        <w:rPr>
          <w:rFonts w:ascii="Arial" w:eastAsia="Times New Roman" w:hAnsi="Arial" w:cs="Arial"/>
        </w:rPr>
        <w:t xml:space="preserve"> </w:t>
      </w:r>
      <w:r w:rsidR="00297311" w:rsidRPr="00BB7FBF">
        <w:rPr>
          <w:rFonts w:ascii="Arial" w:eastAsia="Times New Roman" w:hAnsi="Arial" w:cs="Arial"/>
        </w:rPr>
        <w:t xml:space="preserve">in </w:t>
      </w:r>
      <w:r w:rsidR="00D02CA4">
        <w:rPr>
          <w:rFonts w:ascii="Arial" w:eastAsia="Times New Roman" w:hAnsi="Arial" w:cs="Arial"/>
        </w:rPr>
        <w:t>October 2018</w:t>
      </w:r>
      <w:r w:rsidR="000E5F81" w:rsidRPr="00BB7FBF">
        <w:rPr>
          <w:rFonts w:ascii="Arial" w:eastAsia="Times New Roman" w:hAnsi="Arial" w:cs="Arial"/>
        </w:rPr>
        <w:t>.</w:t>
      </w:r>
      <w:r w:rsidR="00297311" w:rsidRPr="00BB7FBF">
        <w:rPr>
          <w:rFonts w:ascii="Arial" w:eastAsia="Times New Roman" w:hAnsi="Arial" w:cs="Arial"/>
        </w:rPr>
        <w:t xml:space="preserve">  T</w:t>
      </w:r>
      <w:r w:rsidR="000E5F81" w:rsidRPr="00BB7FBF">
        <w:rPr>
          <w:rFonts w:ascii="Arial" w:eastAsia="Times New Roman" w:hAnsi="Arial" w:cs="Arial"/>
        </w:rPr>
        <w:t xml:space="preserve">he </w:t>
      </w:r>
      <w:r>
        <w:rPr>
          <w:rFonts w:ascii="Arial" w:eastAsia="Times New Roman" w:hAnsi="Arial" w:cs="Arial"/>
        </w:rPr>
        <w:t xml:space="preserve">College Academic Administrators Council (CAAC) and </w:t>
      </w:r>
      <w:r w:rsidR="000E5F81" w:rsidRPr="00BB7FBF">
        <w:rPr>
          <w:rFonts w:ascii="Arial" w:eastAsia="Times New Roman" w:hAnsi="Arial" w:cs="Arial"/>
        </w:rPr>
        <w:t xml:space="preserve">Faculty Senate </w:t>
      </w:r>
      <w:r w:rsidR="00297311" w:rsidRPr="00BB7FBF">
        <w:rPr>
          <w:rFonts w:ascii="Arial" w:eastAsia="Times New Roman" w:hAnsi="Arial" w:cs="Arial"/>
        </w:rPr>
        <w:t xml:space="preserve">approved the </w:t>
      </w:r>
      <w:r w:rsidR="003D4750">
        <w:rPr>
          <w:rFonts w:ascii="Arial" w:eastAsia="Times New Roman" w:hAnsi="Arial" w:cs="Arial"/>
        </w:rPr>
        <w:t xml:space="preserve">two </w:t>
      </w:r>
      <w:r w:rsidR="00297311" w:rsidRPr="00BB7FBF">
        <w:rPr>
          <w:rFonts w:ascii="Arial" w:eastAsia="Times New Roman" w:hAnsi="Arial" w:cs="Arial"/>
        </w:rPr>
        <w:t>policy</w:t>
      </w:r>
      <w:r>
        <w:rPr>
          <w:rFonts w:ascii="Arial" w:eastAsia="Times New Roman" w:hAnsi="Arial" w:cs="Arial"/>
        </w:rPr>
        <w:t xml:space="preserve"> amendments</w:t>
      </w:r>
      <w:r w:rsidR="00297311" w:rsidRPr="00BB7FBF">
        <w:rPr>
          <w:rFonts w:ascii="Arial" w:eastAsia="Times New Roman" w:hAnsi="Arial" w:cs="Arial"/>
        </w:rPr>
        <w:t xml:space="preserve"> </w:t>
      </w:r>
      <w:r>
        <w:rPr>
          <w:rFonts w:ascii="Arial" w:eastAsia="Times New Roman" w:hAnsi="Arial" w:cs="Arial"/>
        </w:rPr>
        <w:t>in October and November, respectively</w:t>
      </w:r>
      <w:r w:rsidR="00297311" w:rsidRPr="00BB7FBF">
        <w:rPr>
          <w:rFonts w:ascii="Arial" w:eastAsia="Times New Roman" w:hAnsi="Arial" w:cs="Arial"/>
        </w:rPr>
        <w:t xml:space="preserve">, to be </w:t>
      </w:r>
      <w:r w:rsidR="00297311" w:rsidRPr="00285817">
        <w:rPr>
          <w:rFonts w:ascii="Arial" w:eastAsia="Times New Roman" w:hAnsi="Arial" w:cs="Arial"/>
          <w:b/>
        </w:rPr>
        <w:t xml:space="preserve">effective in </w:t>
      </w:r>
      <w:r w:rsidRPr="00285817">
        <w:rPr>
          <w:rFonts w:ascii="Arial" w:eastAsia="Times New Roman" w:hAnsi="Arial" w:cs="Arial"/>
          <w:b/>
        </w:rPr>
        <w:t>Spring</w:t>
      </w:r>
      <w:r w:rsidR="00297311" w:rsidRPr="00285817">
        <w:rPr>
          <w:rFonts w:ascii="Arial" w:eastAsia="Times New Roman" w:hAnsi="Arial" w:cs="Arial"/>
          <w:b/>
        </w:rPr>
        <w:t xml:space="preserve"> 201</w:t>
      </w:r>
      <w:r w:rsidRPr="00285817">
        <w:rPr>
          <w:rFonts w:ascii="Arial" w:eastAsia="Times New Roman" w:hAnsi="Arial" w:cs="Arial"/>
          <w:b/>
        </w:rPr>
        <w:t>9</w:t>
      </w:r>
      <w:r w:rsidR="00297311" w:rsidRPr="00BB7FBF">
        <w:rPr>
          <w:rFonts w:ascii="Arial" w:eastAsia="Times New Roman" w:hAnsi="Arial" w:cs="Arial"/>
        </w:rPr>
        <w:t xml:space="preserve"> for all current undergraduates, regardless of their Catalog year.</w:t>
      </w:r>
      <w:r w:rsidR="000E5F81" w:rsidRPr="00BB7FBF">
        <w:rPr>
          <w:rFonts w:ascii="Arial" w:eastAsia="Times New Roman" w:hAnsi="Arial" w:cs="Arial"/>
        </w:rPr>
        <w:t xml:space="preserve">  </w:t>
      </w:r>
    </w:p>
    <w:p w:rsidR="000E5F81" w:rsidRPr="00BB7FBF" w:rsidRDefault="000E5F81" w:rsidP="000E5F81">
      <w:pPr>
        <w:rPr>
          <w:rFonts w:ascii="Arial" w:eastAsia="Times New Roman" w:hAnsi="Arial" w:cs="Arial"/>
        </w:rPr>
      </w:pPr>
    </w:p>
    <w:p w:rsidR="00D7686E" w:rsidRDefault="00285817" w:rsidP="000E5F81">
      <w:pPr>
        <w:rPr>
          <w:rFonts w:ascii="Arial" w:eastAsia="Times New Roman" w:hAnsi="Arial" w:cs="Arial"/>
        </w:rPr>
      </w:pPr>
      <w:r>
        <w:rPr>
          <w:rFonts w:ascii="Arial" w:eastAsia="Times New Roman" w:hAnsi="Arial" w:cs="Arial"/>
          <w:b/>
        </w:rPr>
        <w:t>Amended Policy:  Acceptability of Undergraduate Transfer Credit</w:t>
      </w:r>
      <w:r>
        <w:rPr>
          <w:rFonts w:ascii="Arial" w:eastAsia="Times New Roman" w:hAnsi="Arial" w:cs="Arial"/>
        </w:rPr>
        <w:t xml:space="preserve">, </w:t>
      </w:r>
      <w:hyperlink r:id="rId7" w:history="1">
        <w:r w:rsidRPr="0008473B">
          <w:rPr>
            <w:rStyle w:val="Hyperlink"/>
            <w:rFonts w:ascii="Arial" w:eastAsia="Times New Roman" w:hAnsi="Arial" w:cs="Arial"/>
          </w:rPr>
          <w:t>https://catalog.arizona.edu/policy/acceptability-undergraduate-transfer-credit</w:t>
        </w:r>
      </w:hyperlink>
      <w:r w:rsidR="000E5F81" w:rsidRPr="00BB7FBF">
        <w:rPr>
          <w:rFonts w:ascii="Arial" w:eastAsia="Times New Roman" w:hAnsi="Arial" w:cs="Arial"/>
        </w:rPr>
        <w:t>:</w:t>
      </w:r>
      <w:r>
        <w:rPr>
          <w:rFonts w:ascii="Arial" w:eastAsia="Times New Roman" w:hAnsi="Arial" w:cs="Arial"/>
        </w:rPr>
        <w:t xml:space="preserve"> </w:t>
      </w:r>
    </w:p>
    <w:p w:rsidR="00285817" w:rsidRPr="00285817" w:rsidRDefault="00285817" w:rsidP="000E5F81">
      <w:pPr>
        <w:rPr>
          <w:rFonts w:ascii="Arial" w:eastAsia="Times New Roman" w:hAnsi="Arial" w:cs="Arial"/>
          <w:sz w:val="20"/>
          <w:szCs w:val="20"/>
        </w:rPr>
      </w:pPr>
      <w:r>
        <w:rPr>
          <w:rFonts w:ascii="Arial" w:eastAsia="Times New Roman" w:hAnsi="Arial" w:cs="Arial"/>
          <w:sz w:val="20"/>
          <w:szCs w:val="20"/>
        </w:rPr>
        <w:t xml:space="preserve">[Note:  </w:t>
      </w:r>
      <w:r w:rsidRPr="00587EC1">
        <w:rPr>
          <w:rFonts w:ascii="Arial" w:eastAsia="Times New Roman" w:hAnsi="Arial" w:cs="Arial"/>
          <w:color w:val="FF0000"/>
          <w:sz w:val="20"/>
          <w:szCs w:val="20"/>
        </w:rPr>
        <w:t xml:space="preserve">the two new policies are in </w:t>
      </w:r>
      <w:r w:rsidR="00587EC1" w:rsidRPr="00587EC1">
        <w:rPr>
          <w:rFonts w:ascii="Arial" w:eastAsia="Times New Roman" w:hAnsi="Arial" w:cs="Arial"/>
          <w:color w:val="FF0000"/>
          <w:sz w:val="20"/>
          <w:szCs w:val="20"/>
        </w:rPr>
        <w:t>red font</w:t>
      </w:r>
      <w:r w:rsidR="00B45233">
        <w:rPr>
          <w:rFonts w:ascii="Arial" w:eastAsia="Times New Roman" w:hAnsi="Arial" w:cs="Arial"/>
          <w:color w:val="FF0000"/>
          <w:sz w:val="20"/>
          <w:szCs w:val="20"/>
        </w:rPr>
        <w:t xml:space="preserve"> below, with </w:t>
      </w:r>
      <w:r w:rsidR="003D4750">
        <w:rPr>
          <w:rFonts w:ascii="Arial" w:eastAsia="Times New Roman" w:hAnsi="Arial" w:cs="Arial"/>
          <w:color w:val="FF0000"/>
          <w:sz w:val="20"/>
          <w:szCs w:val="20"/>
        </w:rPr>
        <w:t xml:space="preserve">links to </w:t>
      </w:r>
      <w:r w:rsidR="00B45233">
        <w:rPr>
          <w:rFonts w:ascii="Arial" w:eastAsia="Times New Roman" w:hAnsi="Arial" w:cs="Arial"/>
          <w:color w:val="FF0000"/>
          <w:sz w:val="20"/>
          <w:szCs w:val="20"/>
        </w:rPr>
        <w:t xml:space="preserve">separate pages for the </w:t>
      </w:r>
      <w:r w:rsidR="00C45EE2">
        <w:rPr>
          <w:rFonts w:ascii="Arial" w:eastAsia="Times New Roman" w:hAnsi="Arial" w:cs="Arial"/>
          <w:color w:val="FF0000"/>
          <w:sz w:val="20"/>
          <w:szCs w:val="20"/>
        </w:rPr>
        <w:t xml:space="preserve">policy </w:t>
      </w:r>
      <w:r w:rsidR="00B45233">
        <w:rPr>
          <w:rFonts w:ascii="Arial" w:eastAsia="Times New Roman" w:hAnsi="Arial" w:cs="Arial"/>
          <w:color w:val="FF0000"/>
          <w:sz w:val="20"/>
          <w:szCs w:val="20"/>
        </w:rPr>
        <w:t>details</w:t>
      </w:r>
      <w:r w:rsidR="00587EC1">
        <w:rPr>
          <w:rFonts w:ascii="Arial" w:eastAsia="Times New Roman" w:hAnsi="Arial" w:cs="Arial"/>
          <w:sz w:val="20"/>
          <w:szCs w:val="20"/>
        </w:rPr>
        <w:t xml:space="preserve">; other additions to this </w:t>
      </w:r>
      <w:r w:rsidR="003D4750">
        <w:rPr>
          <w:rFonts w:ascii="Arial" w:eastAsia="Times New Roman" w:hAnsi="Arial" w:cs="Arial"/>
          <w:sz w:val="20"/>
          <w:szCs w:val="20"/>
        </w:rPr>
        <w:t xml:space="preserve">Catalog </w:t>
      </w:r>
      <w:r w:rsidR="00587EC1">
        <w:rPr>
          <w:rFonts w:ascii="Arial" w:eastAsia="Times New Roman" w:hAnsi="Arial" w:cs="Arial"/>
          <w:sz w:val="20"/>
          <w:szCs w:val="20"/>
        </w:rPr>
        <w:t xml:space="preserve">page are previously approved policies, now centralized </w:t>
      </w:r>
      <w:r w:rsidR="00B45233">
        <w:rPr>
          <w:rFonts w:ascii="Arial" w:eastAsia="Times New Roman" w:hAnsi="Arial" w:cs="Arial"/>
          <w:sz w:val="20"/>
          <w:szCs w:val="20"/>
        </w:rPr>
        <w:t>for convenience.</w:t>
      </w:r>
      <w:r w:rsidR="00587EC1">
        <w:rPr>
          <w:rFonts w:ascii="Arial" w:eastAsia="Times New Roman" w:hAnsi="Arial" w:cs="Arial"/>
          <w:sz w:val="20"/>
          <w:szCs w:val="20"/>
        </w:rPr>
        <w:t xml:space="preserve">] </w:t>
      </w:r>
    </w:p>
    <w:p w:rsidR="000E5F81" w:rsidRPr="00BB7FBF" w:rsidRDefault="000E5F81" w:rsidP="000E5F81">
      <w:pPr>
        <w:rPr>
          <w:rFonts w:ascii="Arial" w:eastAsia="Times New Roman" w:hAnsi="Arial" w:cs="Arial"/>
        </w:rPr>
      </w:pPr>
      <w:r w:rsidRPr="00BB7FBF">
        <w:rPr>
          <w:rFonts w:ascii="Arial" w:eastAsia="Times New Roman" w:hAnsi="Arial" w:cs="Arial"/>
        </w:rPr>
        <w:t xml:space="preserve"> </w:t>
      </w:r>
    </w:p>
    <w:p w:rsidR="00587EC1" w:rsidRDefault="00587EC1" w:rsidP="00587EC1">
      <w:pPr>
        <w:ind w:left="360"/>
        <w:rPr>
          <w:rFonts w:ascii="Arial" w:eastAsia="Times New Roman" w:hAnsi="Arial" w:cs="Arial"/>
          <w:i/>
          <w:lang w:val="en"/>
        </w:rPr>
      </w:pPr>
      <w:r w:rsidRPr="00587EC1">
        <w:rPr>
          <w:rFonts w:ascii="Arial" w:eastAsia="Times New Roman" w:hAnsi="Arial" w:cs="Arial"/>
          <w:i/>
          <w:lang w:val="en"/>
        </w:rPr>
        <w:t>The determination of acceptability of credit for course work completed at another institution of higher learning is made solely at the discretion of the University of Arizona. The evaluation of course work completed at another institution or exam credit from an approved organization will be based only on an official transcript from the offering institution or organization.</w:t>
      </w:r>
    </w:p>
    <w:p w:rsidR="00587EC1" w:rsidRPr="00587EC1" w:rsidRDefault="00587EC1" w:rsidP="00587EC1">
      <w:pPr>
        <w:ind w:left="360"/>
        <w:rPr>
          <w:rFonts w:ascii="Arial" w:eastAsia="Times New Roman" w:hAnsi="Arial" w:cs="Arial"/>
          <w:i/>
          <w:lang w:val="en"/>
        </w:rPr>
      </w:pPr>
    </w:p>
    <w:p w:rsidR="00587EC1" w:rsidRPr="00587EC1" w:rsidRDefault="00587EC1" w:rsidP="00587EC1">
      <w:pPr>
        <w:ind w:left="360"/>
        <w:rPr>
          <w:rFonts w:ascii="Arial" w:eastAsia="Times New Roman" w:hAnsi="Arial" w:cs="Arial"/>
          <w:b/>
          <w:i/>
          <w:lang w:val="en"/>
        </w:rPr>
      </w:pPr>
      <w:r w:rsidRPr="00587EC1">
        <w:rPr>
          <w:rFonts w:ascii="Arial" w:eastAsia="Times New Roman" w:hAnsi="Arial" w:cs="Arial"/>
          <w:b/>
          <w:i/>
          <w:lang w:val="en"/>
        </w:rPr>
        <w:t>General policies:</w:t>
      </w:r>
    </w:p>
    <w:p w:rsidR="00587EC1" w:rsidRPr="00587EC1" w:rsidRDefault="00587EC1" w:rsidP="00587EC1">
      <w:pPr>
        <w:numPr>
          <w:ilvl w:val="0"/>
          <w:numId w:val="9"/>
        </w:numPr>
        <w:rPr>
          <w:rFonts w:ascii="Arial" w:eastAsia="Times New Roman" w:hAnsi="Arial" w:cs="Arial"/>
          <w:i/>
          <w:lang w:val="en"/>
        </w:rPr>
      </w:pPr>
      <w:r w:rsidRPr="00587EC1">
        <w:rPr>
          <w:rFonts w:ascii="Arial" w:eastAsia="Times New Roman" w:hAnsi="Arial" w:cs="Arial"/>
          <w:i/>
          <w:lang w:val="en"/>
        </w:rPr>
        <w:t>Course work of comparable content to University of Arizona courses is usually transferable if it was completed at colleges or universities accredited by regional accreditation associations at the time the course work was completed. </w:t>
      </w:r>
    </w:p>
    <w:p w:rsidR="00587EC1" w:rsidRPr="00587EC1" w:rsidRDefault="00587EC1" w:rsidP="00587EC1">
      <w:pPr>
        <w:numPr>
          <w:ilvl w:val="0"/>
          <w:numId w:val="9"/>
        </w:numPr>
        <w:rPr>
          <w:rFonts w:ascii="Arial" w:eastAsia="Times New Roman" w:hAnsi="Arial" w:cs="Arial"/>
          <w:i/>
          <w:lang w:val="en"/>
        </w:rPr>
      </w:pPr>
      <w:r w:rsidRPr="00753F85">
        <w:rPr>
          <w:rFonts w:ascii="Arial" w:eastAsia="Times New Roman" w:hAnsi="Arial" w:cs="Arial"/>
          <w:i/>
          <w:color w:val="FF0000"/>
          <w:lang w:val="en"/>
        </w:rPr>
        <w:t>If course work was completed at a non-regionally accredited school, the student may request that up to two (2) courses be considered for transfer, not to exceed a maximum of 10 credits. See</w:t>
      </w:r>
      <w:r w:rsidRPr="00753F85">
        <w:rPr>
          <w:rFonts w:ascii="Arial" w:eastAsia="Times New Roman" w:hAnsi="Arial" w:cs="Arial"/>
          <w:i/>
          <w:lang w:val="en"/>
        </w:rPr>
        <w:t xml:space="preserve"> </w:t>
      </w:r>
      <w:hyperlink r:id="rId8" w:history="1">
        <w:r w:rsidRPr="00753F85">
          <w:rPr>
            <w:rStyle w:val="Hyperlink"/>
            <w:rFonts w:ascii="Arial" w:eastAsia="Times New Roman" w:hAnsi="Arial" w:cs="Arial"/>
            <w:bCs/>
            <w:i/>
            <w:lang w:val="en"/>
          </w:rPr>
          <w:t>Non-Regionally Accredited Course Work Transfer Policy</w:t>
        </w:r>
      </w:hyperlink>
      <w:r w:rsidRPr="00587EC1">
        <w:rPr>
          <w:rFonts w:ascii="Arial" w:eastAsia="Times New Roman" w:hAnsi="Arial" w:cs="Arial"/>
          <w:i/>
          <w:lang w:val="en"/>
        </w:rPr>
        <w:t>.</w:t>
      </w:r>
    </w:p>
    <w:p w:rsidR="00587EC1" w:rsidRPr="00587EC1" w:rsidRDefault="00BD011B" w:rsidP="00587EC1">
      <w:pPr>
        <w:numPr>
          <w:ilvl w:val="0"/>
          <w:numId w:val="9"/>
        </w:numPr>
        <w:rPr>
          <w:rFonts w:ascii="Arial" w:eastAsia="Times New Roman" w:hAnsi="Arial" w:cs="Arial"/>
          <w:i/>
          <w:lang w:val="en"/>
        </w:rPr>
      </w:pPr>
      <w:r w:rsidRPr="00BD011B">
        <w:rPr>
          <w:rFonts w:ascii="Arial" w:eastAsia="Times New Roman" w:hAnsi="Arial" w:cs="Arial"/>
          <w:i/>
          <w:color w:val="FF0000"/>
          <w:lang w:val="en"/>
        </w:rPr>
        <w:t>Requests for c</w:t>
      </w:r>
      <w:r w:rsidR="00587EC1" w:rsidRPr="00BD011B">
        <w:rPr>
          <w:rFonts w:ascii="Arial" w:eastAsia="Times New Roman" w:hAnsi="Arial" w:cs="Arial"/>
          <w:i/>
          <w:color w:val="FF0000"/>
          <w:lang w:val="en"/>
        </w:rPr>
        <w:t xml:space="preserve">redit for Prior Learning (Prior Learning Assessment) </w:t>
      </w:r>
      <w:r w:rsidRPr="00BD011B">
        <w:rPr>
          <w:rFonts w:ascii="Arial" w:eastAsia="Times New Roman" w:hAnsi="Arial" w:cs="Arial"/>
          <w:i/>
          <w:color w:val="FF0000"/>
          <w:lang w:val="en"/>
        </w:rPr>
        <w:t>are</w:t>
      </w:r>
      <w:r w:rsidR="00587EC1" w:rsidRPr="00BD011B">
        <w:rPr>
          <w:rFonts w:ascii="Arial" w:eastAsia="Times New Roman" w:hAnsi="Arial" w:cs="Arial"/>
          <w:i/>
          <w:color w:val="FF0000"/>
          <w:lang w:val="en"/>
        </w:rPr>
        <w:t xml:space="preserve"> reviewed</w:t>
      </w:r>
      <w:r w:rsidR="00587EC1" w:rsidRPr="00753F85">
        <w:rPr>
          <w:rFonts w:ascii="Arial" w:eastAsia="Times New Roman" w:hAnsi="Arial" w:cs="Arial"/>
          <w:i/>
          <w:color w:val="FF0000"/>
          <w:lang w:val="en"/>
        </w:rPr>
        <w:t xml:space="preserve"> on a case by case basis. No more than six (6) general elective credits for Prior Learning will apply to the student’s degree. See </w:t>
      </w:r>
      <w:hyperlink r:id="rId9" w:history="1">
        <w:r w:rsidR="00587EC1" w:rsidRPr="00753F85">
          <w:rPr>
            <w:rStyle w:val="Hyperlink"/>
            <w:rFonts w:ascii="Arial" w:eastAsia="Times New Roman" w:hAnsi="Arial" w:cs="Arial"/>
            <w:bCs/>
            <w:i/>
            <w:lang w:val="en"/>
          </w:rPr>
          <w:t>Credit for Prior Learning Policy</w:t>
        </w:r>
      </w:hyperlink>
      <w:r w:rsidR="00587EC1" w:rsidRPr="00587EC1">
        <w:rPr>
          <w:rFonts w:ascii="Arial" w:eastAsia="Times New Roman" w:hAnsi="Arial" w:cs="Arial"/>
          <w:i/>
          <w:lang w:val="en"/>
        </w:rPr>
        <w:t>.</w:t>
      </w:r>
    </w:p>
    <w:p w:rsidR="00587EC1" w:rsidRPr="00587EC1" w:rsidRDefault="00587EC1" w:rsidP="00587EC1">
      <w:pPr>
        <w:numPr>
          <w:ilvl w:val="0"/>
          <w:numId w:val="9"/>
        </w:numPr>
        <w:rPr>
          <w:rFonts w:ascii="Arial" w:eastAsia="Times New Roman" w:hAnsi="Arial" w:cs="Arial"/>
          <w:i/>
          <w:lang w:val="en"/>
        </w:rPr>
      </w:pPr>
      <w:r w:rsidRPr="00587EC1">
        <w:rPr>
          <w:rFonts w:ascii="Arial" w:eastAsia="Times New Roman" w:hAnsi="Arial" w:cs="Arial"/>
          <w:i/>
          <w:lang w:val="en"/>
        </w:rPr>
        <w:t xml:space="preserve">Course credit earned at an institution of higher education in another country </w:t>
      </w:r>
      <w:r w:rsidR="00BD011B" w:rsidRPr="008E1841">
        <w:rPr>
          <w:rFonts w:ascii="Arial" w:eastAsia="Times New Roman" w:hAnsi="Arial" w:cs="Arial"/>
          <w:i/>
          <w:lang w:val="en"/>
        </w:rPr>
        <w:t xml:space="preserve">is generally </w:t>
      </w:r>
      <w:r w:rsidRPr="00587EC1">
        <w:rPr>
          <w:rFonts w:ascii="Arial" w:eastAsia="Times New Roman" w:hAnsi="Arial" w:cs="Arial"/>
          <w:i/>
          <w:lang w:val="en"/>
        </w:rPr>
        <w:t>considered transferable if that international institution is recognized by the Ministry of Education as a degree granting institution or by an American accreditation body.  </w:t>
      </w:r>
    </w:p>
    <w:p w:rsidR="00587EC1" w:rsidRPr="00587EC1" w:rsidRDefault="00587EC1" w:rsidP="00587EC1">
      <w:pPr>
        <w:numPr>
          <w:ilvl w:val="0"/>
          <w:numId w:val="9"/>
        </w:numPr>
        <w:rPr>
          <w:rFonts w:ascii="Arial" w:eastAsia="Times New Roman" w:hAnsi="Arial" w:cs="Arial"/>
          <w:i/>
          <w:lang w:val="en"/>
        </w:rPr>
      </w:pPr>
      <w:r w:rsidRPr="00587EC1">
        <w:rPr>
          <w:rFonts w:ascii="Arial" w:eastAsia="Times New Roman" w:hAnsi="Arial" w:cs="Arial"/>
          <w:i/>
          <w:lang w:val="en"/>
        </w:rPr>
        <w:t>Credit is not given for grades lower than a "C".</w:t>
      </w:r>
    </w:p>
    <w:p w:rsidR="00587EC1" w:rsidRPr="00587EC1" w:rsidRDefault="00587EC1" w:rsidP="00587EC1">
      <w:pPr>
        <w:numPr>
          <w:ilvl w:val="0"/>
          <w:numId w:val="9"/>
        </w:numPr>
        <w:rPr>
          <w:rFonts w:ascii="Arial" w:eastAsia="Times New Roman" w:hAnsi="Arial" w:cs="Arial"/>
          <w:i/>
          <w:lang w:val="en"/>
        </w:rPr>
      </w:pPr>
      <w:r w:rsidRPr="00587EC1">
        <w:rPr>
          <w:rFonts w:ascii="Arial" w:eastAsia="Times New Roman" w:hAnsi="Arial" w:cs="Arial"/>
          <w:i/>
          <w:lang w:val="en"/>
        </w:rPr>
        <w:t>Grades from other institutions are not included in the calculation of the University of Arizona grade-point average.</w:t>
      </w:r>
    </w:p>
    <w:p w:rsidR="00587EC1" w:rsidRPr="00587EC1" w:rsidRDefault="00587EC1" w:rsidP="00587EC1">
      <w:pPr>
        <w:numPr>
          <w:ilvl w:val="0"/>
          <w:numId w:val="9"/>
        </w:numPr>
        <w:rPr>
          <w:rFonts w:ascii="Arial" w:eastAsia="Times New Roman" w:hAnsi="Arial" w:cs="Arial"/>
          <w:i/>
          <w:lang w:val="en"/>
        </w:rPr>
      </w:pPr>
      <w:r w:rsidRPr="00587EC1">
        <w:rPr>
          <w:rFonts w:ascii="Arial" w:eastAsia="Times New Roman" w:hAnsi="Arial" w:cs="Arial"/>
          <w:i/>
          <w:lang w:val="en"/>
        </w:rPr>
        <w:t>The University of Arizona considers the credit recommendations from the American Council on Education (ACE). Remedial, vocational, and personal development courses are not accepted for credit.</w:t>
      </w:r>
    </w:p>
    <w:p w:rsidR="00587EC1" w:rsidRPr="00587EC1" w:rsidRDefault="00587EC1" w:rsidP="00587EC1">
      <w:pPr>
        <w:numPr>
          <w:ilvl w:val="0"/>
          <w:numId w:val="9"/>
        </w:numPr>
        <w:rPr>
          <w:rFonts w:ascii="Arial" w:eastAsia="Times New Roman" w:hAnsi="Arial" w:cs="Arial"/>
          <w:i/>
          <w:lang w:val="en"/>
        </w:rPr>
      </w:pPr>
      <w:r w:rsidRPr="00587EC1">
        <w:rPr>
          <w:rFonts w:ascii="Arial" w:eastAsia="Times New Roman" w:hAnsi="Arial" w:cs="Arial"/>
          <w:i/>
          <w:lang w:val="en"/>
        </w:rPr>
        <w:t xml:space="preserve">Physical education (PE) activity courses and </w:t>
      </w:r>
      <w:hyperlink r:id="rId10" w:history="1">
        <w:r w:rsidRPr="00753F85">
          <w:rPr>
            <w:rStyle w:val="Hyperlink"/>
            <w:rFonts w:ascii="Arial" w:eastAsia="Times New Roman" w:hAnsi="Arial" w:cs="Arial"/>
            <w:bCs/>
            <w:i/>
            <w:lang w:val="en"/>
          </w:rPr>
          <w:t>Success Courses</w:t>
        </w:r>
      </w:hyperlink>
      <w:r w:rsidRPr="00587EC1">
        <w:rPr>
          <w:rFonts w:ascii="Arial" w:eastAsia="Times New Roman" w:hAnsi="Arial" w:cs="Arial"/>
          <w:i/>
          <w:lang w:val="en"/>
        </w:rPr>
        <w:t xml:space="preserve"> are accepted for credit; however, no more than three (3) PE activity credits and three (3) Success Course credits will apply as general electives toward the student's degree.</w:t>
      </w:r>
    </w:p>
    <w:p w:rsidR="00587EC1" w:rsidRPr="00753F85" w:rsidRDefault="00C45EE2" w:rsidP="00587EC1">
      <w:pPr>
        <w:numPr>
          <w:ilvl w:val="0"/>
          <w:numId w:val="9"/>
        </w:numPr>
        <w:rPr>
          <w:rFonts w:ascii="Arial" w:eastAsia="Times New Roman" w:hAnsi="Arial" w:cs="Arial"/>
          <w:i/>
          <w:lang w:val="en"/>
        </w:rPr>
      </w:pPr>
      <w:hyperlink r:id="rId11" w:history="1">
        <w:r w:rsidR="00587EC1" w:rsidRPr="00753F85">
          <w:rPr>
            <w:rStyle w:val="Hyperlink"/>
            <w:rFonts w:ascii="Arial" w:eastAsia="Times New Roman" w:hAnsi="Arial" w:cs="Arial"/>
            <w:bCs/>
            <w:i/>
            <w:lang w:val="en"/>
          </w:rPr>
          <w:t>Proficiency or competency credit-by-exam</w:t>
        </w:r>
      </w:hyperlink>
      <w:r w:rsidR="00587EC1" w:rsidRPr="00753F85">
        <w:rPr>
          <w:rFonts w:ascii="Arial" w:eastAsia="Times New Roman" w:hAnsi="Arial" w:cs="Arial"/>
          <w:i/>
          <w:lang w:val="en"/>
        </w:rPr>
        <w:t xml:space="preserve"> earned at another college or university is non-transferable. </w:t>
      </w:r>
    </w:p>
    <w:p w:rsidR="00587EC1" w:rsidRPr="00BD011B" w:rsidRDefault="00587EC1" w:rsidP="00587EC1">
      <w:pPr>
        <w:numPr>
          <w:ilvl w:val="0"/>
          <w:numId w:val="9"/>
        </w:numPr>
        <w:rPr>
          <w:rFonts w:ascii="Arial" w:eastAsia="Times New Roman" w:hAnsi="Arial" w:cs="Arial"/>
          <w:i/>
          <w:lang w:val="en"/>
        </w:rPr>
      </w:pPr>
      <w:r w:rsidRPr="00753F85">
        <w:rPr>
          <w:rFonts w:ascii="Arial" w:eastAsia="Times New Roman" w:hAnsi="Arial" w:cs="Arial"/>
          <w:i/>
          <w:lang w:val="en"/>
        </w:rPr>
        <w:lastRenderedPageBreak/>
        <w:t xml:space="preserve">The </w:t>
      </w:r>
      <w:hyperlink r:id="rId12" w:tgtFrame="_blank" w:history="1">
        <w:r w:rsidRPr="00753F85">
          <w:rPr>
            <w:rStyle w:val="Hyperlink"/>
            <w:rFonts w:ascii="Arial" w:eastAsia="Times New Roman" w:hAnsi="Arial" w:cs="Arial"/>
            <w:bCs/>
            <w:i/>
            <w:lang w:val="en"/>
          </w:rPr>
          <w:t>Office of Transfer Credit &amp; Articulation (link is external)</w:t>
        </w:r>
      </w:hyperlink>
      <w:r w:rsidRPr="00753F85">
        <w:rPr>
          <w:rFonts w:ascii="Arial" w:eastAsia="Times New Roman" w:hAnsi="Arial" w:cs="Arial"/>
          <w:i/>
          <w:lang w:val="en"/>
        </w:rPr>
        <w:t xml:space="preserve"> </w:t>
      </w:r>
      <w:r w:rsidR="00753F85" w:rsidRPr="00BD011B">
        <w:rPr>
          <w:rFonts w:ascii="Arial" w:eastAsia="Times New Roman" w:hAnsi="Arial" w:cs="Arial"/>
          <w:i/>
          <w:lang w:val="en"/>
        </w:rPr>
        <w:t>collaborates</w:t>
      </w:r>
      <w:r w:rsidRPr="00BD011B">
        <w:rPr>
          <w:rFonts w:ascii="Arial" w:eastAsia="Times New Roman" w:hAnsi="Arial" w:cs="Arial"/>
          <w:i/>
          <w:lang w:val="en"/>
        </w:rPr>
        <w:t xml:space="preserve"> with appropriate University faculty on the evaluation of transfer credit and determination of transferable learning.</w:t>
      </w:r>
    </w:p>
    <w:p w:rsidR="00587EC1" w:rsidRPr="00BD011B" w:rsidRDefault="00753F85" w:rsidP="00587EC1">
      <w:pPr>
        <w:numPr>
          <w:ilvl w:val="0"/>
          <w:numId w:val="9"/>
        </w:numPr>
        <w:rPr>
          <w:rFonts w:ascii="Arial" w:eastAsia="Times New Roman" w:hAnsi="Arial" w:cs="Arial"/>
          <w:i/>
          <w:lang w:val="en"/>
        </w:rPr>
      </w:pPr>
      <w:r w:rsidRPr="00BD011B">
        <w:rPr>
          <w:rFonts w:ascii="Arial" w:eastAsia="Times New Roman" w:hAnsi="Arial" w:cs="Arial"/>
          <w:i/>
          <w:lang w:val="en"/>
        </w:rPr>
        <w:t>C</w:t>
      </w:r>
      <w:r w:rsidR="00587EC1" w:rsidRPr="00BD011B">
        <w:rPr>
          <w:rFonts w:ascii="Arial" w:eastAsia="Times New Roman" w:hAnsi="Arial" w:cs="Arial"/>
          <w:i/>
          <w:lang w:val="en"/>
        </w:rPr>
        <w:t xml:space="preserve">ourses from Arizona public community colleges </w:t>
      </w:r>
      <w:r w:rsidRPr="00BD011B">
        <w:rPr>
          <w:rFonts w:ascii="Arial" w:eastAsia="Times New Roman" w:hAnsi="Arial" w:cs="Arial"/>
          <w:i/>
          <w:lang w:val="en"/>
        </w:rPr>
        <w:t>are evaluat</w:t>
      </w:r>
      <w:r w:rsidR="00587EC1" w:rsidRPr="00BD011B">
        <w:rPr>
          <w:rFonts w:ascii="Arial" w:eastAsia="Times New Roman" w:hAnsi="Arial" w:cs="Arial"/>
          <w:i/>
          <w:lang w:val="en"/>
        </w:rPr>
        <w:t>ed by the Director of Transfer Curriculum &amp; Articulation and by the appropriate University faculty to determine which courses are acceptable for transfer.</w:t>
      </w:r>
    </w:p>
    <w:p w:rsidR="00587EC1" w:rsidRPr="00587EC1" w:rsidRDefault="00587EC1" w:rsidP="00587EC1">
      <w:pPr>
        <w:numPr>
          <w:ilvl w:val="0"/>
          <w:numId w:val="9"/>
        </w:numPr>
        <w:rPr>
          <w:rFonts w:ascii="Arial" w:eastAsia="Times New Roman" w:hAnsi="Arial" w:cs="Arial"/>
          <w:i/>
          <w:lang w:val="en"/>
        </w:rPr>
      </w:pPr>
      <w:r w:rsidRPr="00BD011B">
        <w:rPr>
          <w:rFonts w:ascii="Arial" w:eastAsia="Times New Roman" w:hAnsi="Arial" w:cs="Arial"/>
          <w:i/>
          <w:lang w:val="en"/>
        </w:rPr>
        <w:t xml:space="preserve">Transferability of courses of independent study, internship, or practicum </w:t>
      </w:r>
      <w:r w:rsidR="00753F85" w:rsidRPr="00BD011B">
        <w:rPr>
          <w:rFonts w:ascii="Arial" w:eastAsia="Times New Roman" w:hAnsi="Arial" w:cs="Arial"/>
          <w:i/>
          <w:lang w:val="en"/>
        </w:rPr>
        <w:t>are subject to approval</w:t>
      </w:r>
      <w:r w:rsidRPr="00BD011B">
        <w:rPr>
          <w:rFonts w:ascii="Arial" w:eastAsia="Times New Roman" w:hAnsi="Arial" w:cs="Arial"/>
          <w:i/>
          <w:color w:val="FF0000"/>
          <w:lang w:val="en"/>
        </w:rPr>
        <w:t xml:space="preserve"> </w:t>
      </w:r>
      <w:r w:rsidRPr="00BD011B">
        <w:rPr>
          <w:rFonts w:ascii="Arial" w:eastAsia="Times New Roman" w:hAnsi="Arial" w:cs="Arial"/>
          <w:i/>
          <w:lang w:val="en"/>
        </w:rPr>
        <w:t>by the appropriate faculty at The University of Arizona and may be</w:t>
      </w:r>
      <w:r w:rsidRPr="00587EC1">
        <w:rPr>
          <w:rFonts w:ascii="Arial" w:eastAsia="Times New Roman" w:hAnsi="Arial" w:cs="Arial"/>
          <w:i/>
          <w:lang w:val="en"/>
        </w:rPr>
        <w:t xml:space="preserve"> restricted both in number of units and in degree applicability. Students who have taken community college courses in these categories may petition for an exception.</w:t>
      </w:r>
    </w:p>
    <w:p w:rsidR="00587EC1" w:rsidRPr="00587EC1" w:rsidRDefault="00C45EE2" w:rsidP="00587EC1">
      <w:pPr>
        <w:numPr>
          <w:ilvl w:val="0"/>
          <w:numId w:val="9"/>
        </w:numPr>
        <w:rPr>
          <w:rFonts w:ascii="Arial" w:eastAsia="Times New Roman" w:hAnsi="Arial" w:cs="Arial"/>
          <w:i/>
          <w:lang w:val="en"/>
        </w:rPr>
      </w:pPr>
      <w:hyperlink r:id="rId13" w:history="1">
        <w:r w:rsidR="00587EC1" w:rsidRPr="00753F85">
          <w:rPr>
            <w:rStyle w:val="Hyperlink"/>
            <w:rFonts w:ascii="Arial" w:eastAsia="Times New Roman" w:hAnsi="Arial" w:cs="Arial"/>
            <w:bCs/>
            <w:i/>
            <w:lang w:val="en"/>
          </w:rPr>
          <w:t>Students who lack not more than a one-semester course</w:t>
        </w:r>
      </w:hyperlink>
      <w:r w:rsidR="00587EC1" w:rsidRPr="00753F85">
        <w:rPr>
          <w:rFonts w:ascii="Arial" w:eastAsia="Times New Roman" w:hAnsi="Arial" w:cs="Arial"/>
          <w:i/>
          <w:lang w:val="en"/>
        </w:rPr>
        <w:t xml:space="preserve"> towar</w:t>
      </w:r>
      <w:r w:rsidR="00587EC1" w:rsidRPr="00587EC1">
        <w:rPr>
          <w:rFonts w:ascii="Arial" w:eastAsia="Times New Roman" w:hAnsi="Arial" w:cs="Arial"/>
          <w:i/>
          <w:lang w:val="en"/>
        </w:rPr>
        <w:t xml:space="preserve">d the fulfillment of curriculum and minimum-graduation-average requirements may apply, as the final course to complete the degree, a single one-semester course in residence at another accredited institution. The graduation GPA shown on the transcript will include the grade from the approved course taken in absentia. An anecdotal note will be added to the transcript explaining the difference between the graduation GPA and the cumulative GPA, which will not reflect the course taken in absentia. Permission must be obtained from the academic dean, prior to enrolling for the course, to apply the grade received in such a course toward the graduation average. This provision may be applied also to the required separate average of 2.000 in the major field if prior permission is obtained from the major </w:t>
      </w:r>
      <w:hyperlink r:id="rId14" w:tgtFrame="_blank" w:history="1">
        <w:r w:rsidR="00587EC1" w:rsidRPr="00753F85">
          <w:rPr>
            <w:rStyle w:val="Hyperlink"/>
            <w:rFonts w:ascii="Arial" w:eastAsia="Times New Roman" w:hAnsi="Arial" w:cs="Arial"/>
            <w:bCs/>
            <w:i/>
            <w:lang w:val="en"/>
          </w:rPr>
          <w:t>advisor (link is external)</w:t>
        </w:r>
      </w:hyperlink>
      <w:r w:rsidR="00587EC1" w:rsidRPr="00753F85">
        <w:rPr>
          <w:rFonts w:ascii="Arial" w:eastAsia="Times New Roman" w:hAnsi="Arial" w:cs="Arial"/>
          <w:i/>
          <w:lang w:val="en"/>
        </w:rPr>
        <w:t xml:space="preserve"> </w:t>
      </w:r>
      <w:r w:rsidR="00587EC1" w:rsidRPr="00587EC1">
        <w:rPr>
          <w:rFonts w:ascii="Arial" w:eastAsia="Times New Roman" w:hAnsi="Arial" w:cs="Arial"/>
          <w:i/>
          <w:lang w:val="en"/>
        </w:rPr>
        <w:t>and the academic dean.</w:t>
      </w:r>
      <w:r w:rsidR="00587EC1" w:rsidRPr="00587EC1">
        <w:rPr>
          <w:rFonts w:ascii="Arial" w:eastAsia="Times New Roman" w:hAnsi="Arial" w:cs="Arial"/>
          <w:i/>
          <w:lang w:val="en"/>
        </w:rPr>
        <w:br/>
        <w:t> </w:t>
      </w:r>
    </w:p>
    <w:p w:rsidR="00587EC1" w:rsidRPr="00587EC1" w:rsidRDefault="00587EC1" w:rsidP="00587EC1">
      <w:pPr>
        <w:ind w:left="360"/>
        <w:rPr>
          <w:rFonts w:ascii="Arial" w:eastAsia="Times New Roman" w:hAnsi="Arial" w:cs="Arial"/>
          <w:i/>
          <w:lang w:val="en"/>
        </w:rPr>
      </w:pPr>
      <w:r w:rsidRPr="00587EC1">
        <w:rPr>
          <w:rFonts w:ascii="Arial" w:eastAsia="Times New Roman" w:hAnsi="Arial" w:cs="Arial"/>
          <w:i/>
          <w:lang w:val="en"/>
        </w:rPr>
        <w:t xml:space="preserve">Applicability of </w:t>
      </w:r>
      <w:hyperlink r:id="rId15" w:tgtFrame="_blank" w:history="1">
        <w:r w:rsidRPr="00753F85">
          <w:rPr>
            <w:rStyle w:val="Hyperlink"/>
            <w:rFonts w:ascii="Arial" w:eastAsia="Times New Roman" w:hAnsi="Arial" w:cs="Arial"/>
            <w:bCs/>
            <w:i/>
            <w:lang w:val="en"/>
          </w:rPr>
          <w:t>transfer credit (link is external)</w:t>
        </w:r>
      </w:hyperlink>
      <w:r w:rsidRPr="00753F85">
        <w:rPr>
          <w:rFonts w:ascii="Arial" w:eastAsia="Times New Roman" w:hAnsi="Arial" w:cs="Arial"/>
          <w:i/>
          <w:lang w:val="en"/>
        </w:rPr>
        <w:t xml:space="preserve"> to a student's academic curriculum is determined by the academic advisor in the student's major </w:t>
      </w:r>
      <w:hyperlink r:id="rId16" w:tgtFrame="_blank" w:history="1">
        <w:r w:rsidRPr="00753F85">
          <w:rPr>
            <w:rStyle w:val="Hyperlink"/>
            <w:rFonts w:ascii="Arial" w:eastAsia="Times New Roman" w:hAnsi="Arial" w:cs="Arial"/>
            <w:bCs/>
            <w:i/>
            <w:lang w:val="en"/>
          </w:rPr>
          <w:t>department (link is external)</w:t>
        </w:r>
      </w:hyperlink>
      <w:r w:rsidRPr="00587EC1">
        <w:rPr>
          <w:rFonts w:ascii="Arial" w:eastAsia="Times New Roman" w:hAnsi="Arial" w:cs="Arial"/>
          <w:i/>
          <w:lang w:val="en"/>
        </w:rPr>
        <w:t>.</w:t>
      </w:r>
    </w:p>
    <w:p w:rsidR="00297311" w:rsidRPr="00BB7FBF" w:rsidRDefault="00297311" w:rsidP="00BB7FBF">
      <w:pPr>
        <w:ind w:left="360"/>
        <w:rPr>
          <w:rFonts w:ascii="Arial" w:eastAsia="Times New Roman" w:hAnsi="Arial" w:cs="Arial"/>
          <w:i/>
        </w:rPr>
      </w:pPr>
      <w:r w:rsidRPr="00BB7FBF">
        <w:rPr>
          <w:rFonts w:ascii="Arial" w:eastAsia="Times New Roman" w:hAnsi="Arial" w:cs="Arial"/>
          <w:i/>
        </w:rPr>
        <w:t xml:space="preserve"> </w:t>
      </w:r>
    </w:p>
    <w:p w:rsidR="000E5F81" w:rsidRPr="00BB7FBF" w:rsidRDefault="000E5F81" w:rsidP="000E5F81">
      <w:pPr>
        <w:rPr>
          <w:rFonts w:ascii="Arial" w:eastAsia="Times New Roman" w:hAnsi="Arial" w:cs="Arial"/>
          <w:b/>
        </w:rPr>
      </w:pPr>
      <w:r w:rsidRPr="00BB7FBF">
        <w:rPr>
          <w:rFonts w:ascii="Arial" w:eastAsia="Times New Roman" w:hAnsi="Arial" w:cs="Arial"/>
          <w:b/>
        </w:rPr>
        <w:t>Justification</w:t>
      </w:r>
      <w:r w:rsidR="00D23B03">
        <w:rPr>
          <w:rFonts w:ascii="Arial" w:eastAsia="Times New Roman" w:hAnsi="Arial" w:cs="Arial"/>
          <w:b/>
        </w:rPr>
        <w:t xml:space="preserve"> for </w:t>
      </w:r>
      <w:r w:rsidR="00753F85">
        <w:rPr>
          <w:rFonts w:ascii="Arial" w:eastAsia="Times New Roman" w:hAnsi="Arial" w:cs="Arial"/>
          <w:b/>
        </w:rPr>
        <w:t>th</w:t>
      </w:r>
      <w:r w:rsidR="00D23B03">
        <w:rPr>
          <w:rFonts w:ascii="Arial" w:eastAsia="Times New Roman" w:hAnsi="Arial" w:cs="Arial"/>
          <w:b/>
        </w:rPr>
        <w:t>e Policy</w:t>
      </w:r>
      <w:r w:rsidR="00753F85">
        <w:rPr>
          <w:rFonts w:ascii="Arial" w:eastAsia="Times New Roman" w:hAnsi="Arial" w:cs="Arial"/>
          <w:b/>
        </w:rPr>
        <w:t xml:space="preserve"> Amendments</w:t>
      </w:r>
      <w:r w:rsidRPr="00BB7FBF">
        <w:rPr>
          <w:rFonts w:ascii="Arial" w:eastAsia="Times New Roman" w:hAnsi="Arial" w:cs="Arial"/>
          <w:b/>
        </w:rPr>
        <w:t>:</w:t>
      </w:r>
    </w:p>
    <w:p w:rsidR="00105B89" w:rsidRPr="00105B89" w:rsidRDefault="00BA6527" w:rsidP="00105B89">
      <w:pPr>
        <w:numPr>
          <w:ilvl w:val="0"/>
          <w:numId w:val="10"/>
        </w:numPr>
        <w:contextualSpacing/>
        <w:rPr>
          <w:rFonts w:ascii="Arial" w:eastAsia="Times New Roman" w:hAnsi="Arial" w:cs="Arial"/>
        </w:rPr>
      </w:pPr>
      <w:r>
        <w:rPr>
          <w:rFonts w:ascii="Arial" w:eastAsia="Times New Roman" w:hAnsi="Arial" w:cs="Arial"/>
        </w:rPr>
        <w:t xml:space="preserve">Some AZ community colleges are now evaluating </w:t>
      </w:r>
      <w:r w:rsidR="00105B89" w:rsidRPr="00105B89">
        <w:rPr>
          <w:rFonts w:ascii="Arial" w:eastAsia="Times New Roman" w:hAnsi="Arial" w:cs="Arial"/>
        </w:rPr>
        <w:t>non-regionally accredited</w:t>
      </w:r>
      <w:r>
        <w:rPr>
          <w:rFonts w:ascii="Arial" w:eastAsia="Times New Roman" w:hAnsi="Arial" w:cs="Arial"/>
        </w:rPr>
        <w:t xml:space="preserve"> course work and assessing prior learning</w:t>
      </w:r>
      <w:r w:rsidR="00105B89" w:rsidRPr="00105B89">
        <w:rPr>
          <w:rFonts w:ascii="Arial" w:eastAsia="Times New Roman" w:hAnsi="Arial" w:cs="Arial"/>
        </w:rPr>
        <w:t>.</w:t>
      </w:r>
      <w:r w:rsidR="00B45233">
        <w:rPr>
          <w:rFonts w:ascii="Arial" w:eastAsia="Times New Roman" w:hAnsi="Arial" w:cs="Arial"/>
        </w:rPr>
        <w:t xml:space="preserve">  The Universities need their own policies to </w:t>
      </w:r>
      <w:r w:rsidR="0034668B">
        <w:rPr>
          <w:rFonts w:ascii="Arial" w:eastAsia="Times New Roman" w:hAnsi="Arial" w:cs="Arial"/>
        </w:rPr>
        <w:t>address these types of credit.</w:t>
      </w:r>
    </w:p>
    <w:p w:rsidR="0034668B" w:rsidRPr="0034668B" w:rsidRDefault="00105B89" w:rsidP="00296B5F">
      <w:pPr>
        <w:numPr>
          <w:ilvl w:val="0"/>
          <w:numId w:val="10"/>
        </w:numPr>
        <w:contextualSpacing/>
        <w:rPr>
          <w:rFonts w:ascii="Arial" w:eastAsia="Times New Roman" w:hAnsi="Arial" w:cs="Arial"/>
        </w:rPr>
      </w:pPr>
      <w:r w:rsidRPr="0034668B">
        <w:rPr>
          <w:rFonts w:ascii="Arial" w:eastAsia="Times New Roman" w:hAnsi="Arial" w:cs="Arial"/>
          <w:bCs/>
        </w:rPr>
        <w:t xml:space="preserve">Like NAU and ASU, </w:t>
      </w:r>
      <w:r w:rsidR="0034668B" w:rsidRPr="0034668B">
        <w:rPr>
          <w:rFonts w:ascii="Arial" w:eastAsia="Times New Roman" w:hAnsi="Arial" w:cs="Arial"/>
          <w:bCs/>
        </w:rPr>
        <w:t>the UA has</w:t>
      </w:r>
      <w:r w:rsidRPr="0034668B">
        <w:rPr>
          <w:rFonts w:ascii="Arial" w:eastAsia="Times New Roman" w:hAnsi="Arial" w:cs="Arial"/>
          <w:bCs/>
        </w:rPr>
        <w:t xml:space="preserve"> not ha</w:t>
      </w:r>
      <w:r w:rsidR="0034668B" w:rsidRPr="0034668B">
        <w:rPr>
          <w:rFonts w:ascii="Arial" w:eastAsia="Times New Roman" w:hAnsi="Arial" w:cs="Arial"/>
          <w:bCs/>
        </w:rPr>
        <w:t>d</w:t>
      </w:r>
      <w:r w:rsidRPr="0034668B">
        <w:rPr>
          <w:rFonts w:ascii="Arial" w:eastAsia="Times New Roman" w:hAnsi="Arial" w:cs="Arial"/>
          <w:bCs/>
        </w:rPr>
        <w:t xml:space="preserve"> policies </w:t>
      </w:r>
      <w:r w:rsidR="0034668B" w:rsidRPr="0034668B">
        <w:rPr>
          <w:rFonts w:ascii="Arial" w:eastAsia="Times New Roman" w:hAnsi="Arial" w:cs="Arial"/>
          <w:bCs/>
        </w:rPr>
        <w:t>regarding</w:t>
      </w:r>
      <w:r w:rsidRPr="0034668B">
        <w:rPr>
          <w:rFonts w:ascii="Arial" w:eastAsia="Times New Roman" w:hAnsi="Arial" w:cs="Arial"/>
          <w:bCs/>
        </w:rPr>
        <w:t xml:space="preserve"> non-regionally accredited course work nor credit for prior learning. </w:t>
      </w:r>
      <w:r w:rsidR="0034668B" w:rsidRPr="0034668B">
        <w:rPr>
          <w:rFonts w:ascii="Arial" w:eastAsia="Times New Roman" w:hAnsi="Arial" w:cs="Arial"/>
          <w:bCs/>
        </w:rPr>
        <w:t>However, more transfer students are admitted to the UA after attending a non-regionally accredited institution</w:t>
      </w:r>
      <w:r w:rsidRPr="0034668B">
        <w:rPr>
          <w:rFonts w:ascii="Arial" w:eastAsia="Times New Roman" w:hAnsi="Arial" w:cs="Arial"/>
          <w:bCs/>
        </w:rPr>
        <w:t xml:space="preserve">. </w:t>
      </w:r>
    </w:p>
    <w:p w:rsidR="00105B89" w:rsidRPr="00105B89" w:rsidRDefault="0034668B" w:rsidP="00105B89">
      <w:pPr>
        <w:numPr>
          <w:ilvl w:val="0"/>
          <w:numId w:val="10"/>
        </w:numPr>
        <w:contextualSpacing/>
        <w:rPr>
          <w:rFonts w:ascii="Arial" w:eastAsia="Times New Roman" w:hAnsi="Arial" w:cs="Arial"/>
        </w:rPr>
      </w:pPr>
      <w:r>
        <w:rPr>
          <w:rFonts w:ascii="Arial" w:eastAsia="Times New Roman" w:hAnsi="Arial" w:cs="Arial"/>
        </w:rPr>
        <w:t>P</w:t>
      </w:r>
      <w:r w:rsidR="00105B89" w:rsidRPr="00105B89">
        <w:rPr>
          <w:rFonts w:ascii="Arial" w:eastAsia="Times New Roman" w:hAnsi="Arial" w:cs="Arial"/>
        </w:rPr>
        <w:t xml:space="preserve">olicies concerning credit for prior learning and non-regionally accredited course work are needed </w:t>
      </w:r>
      <w:r>
        <w:rPr>
          <w:rFonts w:ascii="Arial" w:eastAsia="Times New Roman" w:hAnsi="Arial" w:cs="Arial"/>
        </w:rPr>
        <w:t xml:space="preserve">for the UA </w:t>
      </w:r>
      <w:r w:rsidR="00105B89" w:rsidRPr="00105B89">
        <w:rPr>
          <w:rFonts w:ascii="Arial" w:eastAsia="Times New Roman" w:hAnsi="Arial" w:cs="Arial"/>
        </w:rPr>
        <w:t xml:space="preserve">to remain at the forefront of national transfer credit trends and </w:t>
      </w:r>
      <w:r w:rsidR="0085623D">
        <w:rPr>
          <w:rFonts w:ascii="Arial" w:eastAsia="Times New Roman" w:hAnsi="Arial" w:cs="Arial"/>
        </w:rPr>
        <w:t xml:space="preserve">demands from </w:t>
      </w:r>
      <w:r w:rsidR="00105B89" w:rsidRPr="00105B89">
        <w:rPr>
          <w:rFonts w:ascii="Arial" w:eastAsia="Times New Roman" w:hAnsi="Arial" w:cs="Arial"/>
        </w:rPr>
        <w:t>transfer student</w:t>
      </w:r>
      <w:r w:rsidR="0085623D">
        <w:rPr>
          <w:rFonts w:ascii="Arial" w:eastAsia="Times New Roman" w:hAnsi="Arial" w:cs="Arial"/>
        </w:rPr>
        <w:t xml:space="preserve">s, </w:t>
      </w:r>
      <w:r w:rsidR="00105B89" w:rsidRPr="00105B89">
        <w:rPr>
          <w:rFonts w:ascii="Arial" w:eastAsia="Times New Roman" w:hAnsi="Arial" w:cs="Arial"/>
        </w:rPr>
        <w:t xml:space="preserve">including online students and returning students. </w:t>
      </w:r>
    </w:p>
    <w:p w:rsidR="00105B89" w:rsidRPr="00105B89" w:rsidRDefault="0034668B" w:rsidP="00105B89">
      <w:pPr>
        <w:numPr>
          <w:ilvl w:val="0"/>
          <w:numId w:val="10"/>
        </w:numPr>
        <w:contextualSpacing/>
        <w:rPr>
          <w:rFonts w:ascii="Arial" w:eastAsia="Times New Roman" w:hAnsi="Arial" w:cs="Arial"/>
        </w:rPr>
      </w:pPr>
      <w:r>
        <w:rPr>
          <w:rFonts w:ascii="Arial" w:eastAsia="Times New Roman" w:hAnsi="Arial" w:cs="Arial"/>
        </w:rPr>
        <w:t>The Higher Learning Commission (HLC) states that</w:t>
      </w:r>
      <w:r w:rsidR="00105B89" w:rsidRPr="00105B89">
        <w:rPr>
          <w:rFonts w:ascii="Arial" w:eastAsia="Times New Roman" w:hAnsi="Arial" w:cs="Arial"/>
        </w:rPr>
        <w:t xml:space="preserve"> institutions must establish a policy and </w:t>
      </w:r>
      <w:r>
        <w:rPr>
          <w:rFonts w:ascii="Arial" w:eastAsia="Times New Roman" w:hAnsi="Arial" w:cs="Arial"/>
        </w:rPr>
        <w:t xml:space="preserve">procedure for </w:t>
      </w:r>
      <w:r w:rsidR="00105B89" w:rsidRPr="00105B89">
        <w:rPr>
          <w:rFonts w:ascii="Arial" w:eastAsia="Times New Roman" w:hAnsi="Arial" w:cs="Arial"/>
        </w:rPr>
        <w:t xml:space="preserve">faculty to evaluate </w:t>
      </w:r>
      <w:r w:rsidR="0085623D">
        <w:rPr>
          <w:rFonts w:ascii="Arial" w:eastAsia="Times New Roman" w:hAnsi="Arial" w:cs="Arial"/>
        </w:rPr>
        <w:t>documented prior l</w:t>
      </w:r>
      <w:r>
        <w:rPr>
          <w:rFonts w:ascii="Arial" w:eastAsia="Times New Roman" w:hAnsi="Arial" w:cs="Arial"/>
        </w:rPr>
        <w:t xml:space="preserve">earning </w:t>
      </w:r>
      <w:r w:rsidR="008E1841">
        <w:rPr>
          <w:rFonts w:ascii="Arial" w:eastAsia="Times New Roman" w:hAnsi="Arial" w:cs="Arial"/>
        </w:rPr>
        <w:t>for possible credit</w:t>
      </w:r>
      <w:r w:rsidR="00105B89" w:rsidRPr="00105B89">
        <w:rPr>
          <w:rFonts w:ascii="Arial" w:eastAsia="Times New Roman" w:hAnsi="Arial" w:cs="Arial"/>
        </w:rPr>
        <w:t xml:space="preserve">. The policy must establish how the credit is </w:t>
      </w:r>
      <w:r w:rsidR="008E1841">
        <w:rPr>
          <w:rFonts w:ascii="Arial" w:eastAsia="Times New Roman" w:hAnsi="Arial" w:cs="Arial"/>
        </w:rPr>
        <w:t>a</w:t>
      </w:r>
      <w:r w:rsidR="00105B89" w:rsidRPr="00105B89">
        <w:rPr>
          <w:rFonts w:ascii="Arial" w:eastAsia="Times New Roman" w:hAnsi="Arial" w:cs="Arial"/>
        </w:rPr>
        <w:t>ssigned</w:t>
      </w:r>
      <w:r w:rsidR="008E1841">
        <w:rPr>
          <w:rFonts w:ascii="Arial" w:eastAsia="Times New Roman" w:hAnsi="Arial" w:cs="Arial"/>
        </w:rPr>
        <w:t>, how t</w:t>
      </w:r>
      <w:r w:rsidR="00105B89" w:rsidRPr="00105B89">
        <w:rPr>
          <w:rFonts w:ascii="Arial" w:eastAsia="Times New Roman" w:hAnsi="Arial" w:cs="Arial"/>
        </w:rPr>
        <w:t xml:space="preserve">he credit </w:t>
      </w:r>
      <w:r w:rsidR="008E1841">
        <w:rPr>
          <w:rFonts w:ascii="Arial" w:eastAsia="Times New Roman" w:hAnsi="Arial" w:cs="Arial"/>
        </w:rPr>
        <w:t>(if any) applies to degree requirements</w:t>
      </w:r>
      <w:r w:rsidR="00105B89" w:rsidRPr="00105B89">
        <w:rPr>
          <w:rFonts w:ascii="Arial" w:eastAsia="Times New Roman" w:hAnsi="Arial" w:cs="Arial"/>
        </w:rPr>
        <w:t xml:space="preserve">, and what </w:t>
      </w:r>
      <w:r w:rsidR="008E1841">
        <w:rPr>
          <w:rFonts w:ascii="Arial" w:eastAsia="Times New Roman" w:hAnsi="Arial" w:cs="Arial"/>
        </w:rPr>
        <w:t>level of</w:t>
      </w:r>
      <w:r w:rsidR="00105B89" w:rsidRPr="00105B89">
        <w:rPr>
          <w:rFonts w:ascii="Arial" w:eastAsia="Times New Roman" w:hAnsi="Arial" w:cs="Arial"/>
        </w:rPr>
        <w:t xml:space="preserve"> academic rigor is associated with </w:t>
      </w:r>
      <w:r w:rsidR="008E1841">
        <w:rPr>
          <w:rFonts w:ascii="Arial" w:eastAsia="Times New Roman" w:hAnsi="Arial" w:cs="Arial"/>
        </w:rPr>
        <w:t>awarding</w:t>
      </w:r>
      <w:r w:rsidR="00105B89" w:rsidRPr="00105B89">
        <w:rPr>
          <w:rFonts w:ascii="Arial" w:eastAsia="Times New Roman" w:hAnsi="Arial" w:cs="Arial"/>
        </w:rPr>
        <w:t xml:space="preserve"> credit. </w:t>
      </w:r>
    </w:p>
    <w:p w:rsidR="00105B89" w:rsidRPr="008E1841" w:rsidRDefault="008E1841" w:rsidP="00053356">
      <w:pPr>
        <w:numPr>
          <w:ilvl w:val="0"/>
          <w:numId w:val="10"/>
        </w:numPr>
        <w:contextualSpacing/>
        <w:rPr>
          <w:rFonts w:ascii="Arial" w:eastAsia="Times New Roman" w:hAnsi="Arial" w:cs="Arial"/>
        </w:rPr>
      </w:pPr>
      <w:r w:rsidRPr="008E1841">
        <w:rPr>
          <w:rFonts w:ascii="Arial" w:eastAsia="Times New Roman" w:hAnsi="Arial" w:cs="Arial"/>
        </w:rPr>
        <w:t>Several</w:t>
      </w:r>
      <w:r w:rsidR="00105B89" w:rsidRPr="008E1841">
        <w:rPr>
          <w:rFonts w:ascii="Arial" w:eastAsia="Times New Roman" w:hAnsi="Arial" w:cs="Arial"/>
        </w:rPr>
        <w:t xml:space="preserve"> of </w:t>
      </w:r>
      <w:r w:rsidRPr="008E1841">
        <w:rPr>
          <w:rFonts w:ascii="Arial" w:eastAsia="Times New Roman" w:hAnsi="Arial" w:cs="Arial"/>
        </w:rPr>
        <w:t>the UA’s</w:t>
      </w:r>
      <w:r w:rsidR="00105B89" w:rsidRPr="008E1841">
        <w:rPr>
          <w:rFonts w:ascii="Arial" w:eastAsia="Times New Roman" w:hAnsi="Arial" w:cs="Arial"/>
        </w:rPr>
        <w:t xml:space="preserve"> </w:t>
      </w:r>
      <w:r w:rsidRPr="008E1841">
        <w:rPr>
          <w:rFonts w:ascii="Arial" w:eastAsia="Times New Roman" w:hAnsi="Arial" w:cs="Arial"/>
        </w:rPr>
        <w:t>peer i</w:t>
      </w:r>
      <w:r w:rsidR="00105B89" w:rsidRPr="008E1841">
        <w:rPr>
          <w:rFonts w:ascii="Arial" w:eastAsia="Times New Roman" w:hAnsi="Arial" w:cs="Arial"/>
        </w:rPr>
        <w:t>nstitutions</w:t>
      </w:r>
      <w:r w:rsidRPr="008E1841">
        <w:rPr>
          <w:rFonts w:ascii="Arial" w:eastAsia="Times New Roman" w:hAnsi="Arial" w:cs="Arial"/>
        </w:rPr>
        <w:t xml:space="preserve"> evaluate and accept</w:t>
      </w:r>
      <w:r w:rsidR="00105B89" w:rsidRPr="008E1841">
        <w:rPr>
          <w:rFonts w:ascii="Arial" w:eastAsia="Times New Roman" w:hAnsi="Arial" w:cs="Arial"/>
        </w:rPr>
        <w:t xml:space="preserve"> non-regionally accredited course</w:t>
      </w:r>
      <w:r w:rsidR="0085623D">
        <w:rPr>
          <w:rFonts w:ascii="Arial" w:eastAsia="Times New Roman" w:hAnsi="Arial" w:cs="Arial"/>
        </w:rPr>
        <w:t xml:space="preserve"> work</w:t>
      </w:r>
      <w:r w:rsidR="00105B89" w:rsidRPr="008E1841">
        <w:rPr>
          <w:rFonts w:ascii="Arial" w:eastAsia="Times New Roman" w:hAnsi="Arial" w:cs="Arial"/>
        </w:rPr>
        <w:t xml:space="preserve"> on a case</w:t>
      </w:r>
      <w:r w:rsidRPr="008E1841">
        <w:rPr>
          <w:rFonts w:ascii="Arial" w:eastAsia="Times New Roman" w:hAnsi="Arial" w:cs="Arial"/>
        </w:rPr>
        <w:t>-b</w:t>
      </w:r>
      <w:r w:rsidR="00105B89" w:rsidRPr="008E1841">
        <w:rPr>
          <w:rFonts w:ascii="Arial" w:eastAsia="Times New Roman" w:hAnsi="Arial" w:cs="Arial"/>
        </w:rPr>
        <w:t>y</w:t>
      </w:r>
      <w:r w:rsidRPr="008E1841">
        <w:rPr>
          <w:rFonts w:ascii="Arial" w:eastAsia="Times New Roman" w:hAnsi="Arial" w:cs="Arial"/>
        </w:rPr>
        <w:t>-</w:t>
      </w:r>
      <w:r w:rsidR="00105B89" w:rsidRPr="008E1841">
        <w:rPr>
          <w:rFonts w:ascii="Arial" w:eastAsia="Times New Roman" w:hAnsi="Arial" w:cs="Arial"/>
        </w:rPr>
        <w:t xml:space="preserve">case basis. </w:t>
      </w:r>
      <w:r w:rsidRPr="008E1841">
        <w:rPr>
          <w:rFonts w:ascii="Arial" w:eastAsia="Times New Roman" w:hAnsi="Arial" w:cs="Arial"/>
        </w:rPr>
        <w:t xml:space="preserve">Likewise, </w:t>
      </w:r>
      <w:r>
        <w:rPr>
          <w:rFonts w:ascii="Arial" w:eastAsia="Times New Roman" w:hAnsi="Arial" w:cs="Arial"/>
        </w:rPr>
        <w:t>r</w:t>
      </w:r>
      <w:r w:rsidRPr="008E1841">
        <w:rPr>
          <w:rFonts w:ascii="Arial" w:eastAsia="Times New Roman" w:hAnsi="Arial" w:cs="Arial"/>
        </w:rPr>
        <w:t>equests for c</w:t>
      </w:r>
      <w:r w:rsidR="00105B89" w:rsidRPr="008E1841">
        <w:rPr>
          <w:rFonts w:ascii="Arial" w:eastAsia="Times New Roman" w:hAnsi="Arial" w:cs="Arial"/>
        </w:rPr>
        <w:t xml:space="preserve">redit for prior learning </w:t>
      </w:r>
      <w:r w:rsidRPr="008E1841">
        <w:rPr>
          <w:rFonts w:ascii="Arial" w:eastAsia="Times New Roman" w:hAnsi="Arial" w:cs="Arial"/>
        </w:rPr>
        <w:t>are considered</w:t>
      </w:r>
      <w:r w:rsidR="00105B89" w:rsidRPr="008E1841">
        <w:rPr>
          <w:rFonts w:ascii="Arial" w:eastAsia="Times New Roman" w:hAnsi="Arial" w:cs="Arial"/>
        </w:rPr>
        <w:t xml:space="preserve"> on a case</w:t>
      </w:r>
      <w:r w:rsidRPr="008E1841">
        <w:rPr>
          <w:rFonts w:ascii="Arial" w:eastAsia="Times New Roman" w:hAnsi="Arial" w:cs="Arial"/>
        </w:rPr>
        <w:t>-</w:t>
      </w:r>
      <w:r w:rsidR="00105B89" w:rsidRPr="008E1841">
        <w:rPr>
          <w:rFonts w:ascii="Arial" w:eastAsia="Times New Roman" w:hAnsi="Arial" w:cs="Arial"/>
        </w:rPr>
        <w:t>by</w:t>
      </w:r>
      <w:r w:rsidRPr="008E1841">
        <w:rPr>
          <w:rFonts w:ascii="Arial" w:eastAsia="Times New Roman" w:hAnsi="Arial" w:cs="Arial"/>
        </w:rPr>
        <w:t>-</w:t>
      </w:r>
      <w:r w:rsidR="00105B89" w:rsidRPr="008E1841">
        <w:rPr>
          <w:rFonts w:ascii="Arial" w:eastAsia="Times New Roman" w:hAnsi="Arial" w:cs="Arial"/>
        </w:rPr>
        <w:t xml:space="preserve">case basis </w:t>
      </w:r>
      <w:r w:rsidR="003D4750">
        <w:rPr>
          <w:rFonts w:ascii="Arial" w:eastAsia="Times New Roman" w:hAnsi="Arial" w:cs="Arial"/>
        </w:rPr>
        <w:t>by</w:t>
      </w:r>
      <w:r w:rsidR="00105B89" w:rsidRPr="008E1841">
        <w:rPr>
          <w:rFonts w:ascii="Arial" w:eastAsia="Times New Roman" w:hAnsi="Arial" w:cs="Arial"/>
        </w:rPr>
        <w:t xml:space="preserve"> many </w:t>
      </w:r>
      <w:r w:rsidRPr="008E1841">
        <w:rPr>
          <w:rFonts w:ascii="Arial" w:eastAsia="Times New Roman" w:hAnsi="Arial" w:cs="Arial"/>
        </w:rPr>
        <w:t>UA</w:t>
      </w:r>
      <w:r w:rsidR="00105B89" w:rsidRPr="008E1841">
        <w:rPr>
          <w:rFonts w:ascii="Arial" w:eastAsia="Times New Roman" w:hAnsi="Arial" w:cs="Arial"/>
        </w:rPr>
        <w:t xml:space="preserve"> </w:t>
      </w:r>
      <w:r w:rsidRPr="008E1841">
        <w:rPr>
          <w:rFonts w:ascii="Arial" w:eastAsia="Times New Roman" w:hAnsi="Arial" w:cs="Arial"/>
        </w:rPr>
        <w:t>peer</w:t>
      </w:r>
      <w:r w:rsidR="003D4750">
        <w:rPr>
          <w:rFonts w:ascii="Arial" w:eastAsia="Times New Roman" w:hAnsi="Arial" w:cs="Arial"/>
        </w:rPr>
        <w:t>s</w:t>
      </w:r>
      <w:r w:rsidR="00105B89" w:rsidRPr="008E1841">
        <w:rPr>
          <w:rFonts w:ascii="Arial" w:eastAsia="Times New Roman" w:hAnsi="Arial" w:cs="Arial"/>
        </w:rPr>
        <w:t xml:space="preserve">.  </w:t>
      </w:r>
    </w:p>
    <w:p w:rsidR="000E5F81" w:rsidRPr="00BB7FBF" w:rsidRDefault="000E5F81" w:rsidP="000E5F81">
      <w:pPr>
        <w:rPr>
          <w:rFonts w:ascii="Arial" w:eastAsia="Times New Roman" w:hAnsi="Arial" w:cs="Arial"/>
          <w:b/>
        </w:rPr>
      </w:pPr>
    </w:p>
    <w:p w:rsidR="000E5F81" w:rsidRPr="00BB7FBF" w:rsidRDefault="000E5F81" w:rsidP="000E5F81">
      <w:pPr>
        <w:rPr>
          <w:rFonts w:ascii="Arial" w:eastAsia="Times New Roman" w:hAnsi="Arial" w:cs="Arial"/>
          <w:b/>
        </w:rPr>
      </w:pPr>
      <w:r w:rsidRPr="00BB7FBF">
        <w:rPr>
          <w:rFonts w:ascii="Arial" w:eastAsia="Times New Roman" w:hAnsi="Arial" w:cs="Arial"/>
          <w:b/>
        </w:rPr>
        <w:t>Management of the Policy</w:t>
      </w:r>
      <w:r w:rsidR="00BD011B">
        <w:rPr>
          <w:rFonts w:ascii="Arial" w:eastAsia="Times New Roman" w:hAnsi="Arial" w:cs="Arial"/>
          <w:b/>
        </w:rPr>
        <w:t xml:space="preserve"> Amendments</w:t>
      </w:r>
      <w:r w:rsidRPr="00BB7FBF">
        <w:rPr>
          <w:rFonts w:ascii="Arial" w:eastAsia="Times New Roman" w:hAnsi="Arial" w:cs="Arial"/>
          <w:b/>
        </w:rPr>
        <w:t>:</w:t>
      </w:r>
    </w:p>
    <w:p w:rsidR="00BB7FBF" w:rsidRPr="00B45233" w:rsidRDefault="00A52178" w:rsidP="00B45233">
      <w:pPr>
        <w:pStyle w:val="ListParagraph"/>
        <w:numPr>
          <w:ilvl w:val="0"/>
          <w:numId w:val="12"/>
        </w:numPr>
        <w:rPr>
          <w:rFonts w:ascii="Arial" w:eastAsia="Times New Roman" w:hAnsi="Arial" w:cs="Arial"/>
        </w:rPr>
      </w:pPr>
      <w:r>
        <w:rPr>
          <w:rFonts w:ascii="Arial" w:eastAsia="Times New Roman" w:hAnsi="Arial" w:cs="Arial"/>
        </w:rPr>
        <w:t>Student p</w:t>
      </w:r>
      <w:r w:rsidR="00C27AB4" w:rsidRPr="00B45233">
        <w:rPr>
          <w:rFonts w:ascii="Arial" w:eastAsia="Times New Roman" w:hAnsi="Arial" w:cs="Arial"/>
        </w:rPr>
        <w:t xml:space="preserve">rocedures for submitting a request for </w:t>
      </w:r>
      <w:r w:rsidR="00C27AB4" w:rsidRPr="00B45233">
        <w:rPr>
          <w:rFonts w:ascii="Arial" w:eastAsia="Times New Roman" w:hAnsi="Arial" w:cs="Arial"/>
          <w:b/>
        </w:rPr>
        <w:t>Prior Learning</w:t>
      </w:r>
      <w:r w:rsidR="00C27AB4" w:rsidRPr="00B45233">
        <w:rPr>
          <w:rFonts w:ascii="Arial" w:eastAsia="Times New Roman" w:hAnsi="Arial" w:cs="Arial"/>
        </w:rPr>
        <w:t xml:space="preserve"> </w:t>
      </w:r>
      <w:r w:rsidR="00C27AB4" w:rsidRPr="00B45233">
        <w:rPr>
          <w:rFonts w:ascii="Arial" w:eastAsia="Times New Roman" w:hAnsi="Arial" w:cs="Arial"/>
          <w:b/>
        </w:rPr>
        <w:t xml:space="preserve">Credit </w:t>
      </w:r>
      <w:r w:rsidR="00C27AB4" w:rsidRPr="00B45233">
        <w:rPr>
          <w:rFonts w:ascii="Arial" w:eastAsia="Times New Roman" w:hAnsi="Arial" w:cs="Arial"/>
        </w:rPr>
        <w:t xml:space="preserve">are posted on the </w:t>
      </w:r>
      <w:hyperlink r:id="rId17" w:history="1">
        <w:r w:rsidR="00C27AB4" w:rsidRPr="00B45233">
          <w:rPr>
            <w:rStyle w:val="Hyperlink"/>
            <w:rFonts w:ascii="Arial" w:eastAsia="Times New Roman" w:hAnsi="Arial" w:cs="Arial"/>
          </w:rPr>
          <w:t>Transfer Credit &amp; Articulation site</w:t>
        </w:r>
      </w:hyperlink>
      <w:r w:rsidR="00C27AB4" w:rsidRPr="00B45233">
        <w:rPr>
          <w:rFonts w:ascii="Arial" w:eastAsia="Times New Roman" w:hAnsi="Arial" w:cs="Arial"/>
        </w:rPr>
        <w:t xml:space="preserve">. </w:t>
      </w:r>
    </w:p>
    <w:p w:rsidR="00C27AB4" w:rsidRDefault="00A52178" w:rsidP="00B45233">
      <w:pPr>
        <w:pStyle w:val="ListParagraph"/>
        <w:numPr>
          <w:ilvl w:val="0"/>
          <w:numId w:val="12"/>
        </w:numPr>
        <w:rPr>
          <w:rFonts w:ascii="Arial" w:eastAsia="Times New Roman" w:hAnsi="Arial" w:cs="Arial"/>
        </w:rPr>
      </w:pPr>
      <w:r>
        <w:rPr>
          <w:rFonts w:ascii="Arial" w:eastAsia="Times New Roman" w:hAnsi="Arial" w:cs="Arial"/>
        </w:rPr>
        <w:t>Additionally, student p</w:t>
      </w:r>
      <w:r w:rsidR="00C27AB4" w:rsidRPr="00B45233">
        <w:rPr>
          <w:rFonts w:ascii="Arial" w:eastAsia="Times New Roman" w:hAnsi="Arial" w:cs="Arial"/>
        </w:rPr>
        <w:t xml:space="preserve">rocedures for submitting </w:t>
      </w:r>
      <w:r w:rsidR="00C27AB4" w:rsidRPr="00B45233">
        <w:rPr>
          <w:rFonts w:ascii="Arial" w:eastAsia="Times New Roman" w:hAnsi="Arial" w:cs="Arial"/>
          <w:b/>
        </w:rPr>
        <w:t>non-regionally accredited course</w:t>
      </w:r>
      <w:r w:rsidR="0085623D">
        <w:rPr>
          <w:rFonts w:ascii="Arial" w:eastAsia="Times New Roman" w:hAnsi="Arial" w:cs="Arial"/>
          <w:b/>
        </w:rPr>
        <w:t xml:space="preserve"> work</w:t>
      </w:r>
      <w:r w:rsidR="00C27AB4" w:rsidRPr="00B45233">
        <w:rPr>
          <w:rFonts w:ascii="Arial" w:eastAsia="Times New Roman" w:hAnsi="Arial" w:cs="Arial"/>
        </w:rPr>
        <w:t xml:space="preserve"> fo</w:t>
      </w:r>
      <w:r w:rsidR="00B45233" w:rsidRPr="00B45233">
        <w:rPr>
          <w:rFonts w:ascii="Arial" w:eastAsia="Times New Roman" w:hAnsi="Arial" w:cs="Arial"/>
        </w:rPr>
        <w:t xml:space="preserve">r transfer credit are posted on the </w:t>
      </w:r>
      <w:hyperlink r:id="rId18" w:history="1">
        <w:r w:rsidR="00B45233" w:rsidRPr="00B45233">
          <w:rPr>
            <w:rStyle w:val="Hyperlink"/>
            <w:rFonts w:ascii="Arial" w:eastAsia="Times New Roman" w:hAnsi="Arial" w:cs="Arial"/>
          </w:rPr>
          <w:t>Trans</w:t>
        </w:r>
        <w:r w:rsidR="00B45233" w:rsidRPr="00B45233">
          <w:rPr>
            <w:rStyle w:val="Hyperlink"/>
            <w:rFonts w:ascii="Arial" w:eastAsia="Times New Roman" w:hAnsi="Arial" w:cs="Arial"/>
          </w:rPr>
          <w:t>f</w:t>
        </w:r>
        <w:r w:rsidR="00B45233" w:rsidRPr="00B45233">
          <w:rPr>
            <w:rStyle w:val="Hyperlink"/>
            <w:rFonts w:ascii="Arial" w:eastAsia="Times New Roman" w:hAnsi="Arial" w:cs="Arial"/>
          </w:rPr>
          <w:t>er Credit &amp; Articulation site</w:t>
        </w:r>
      </w:hyperlink>
      <w:r w:rsidR="00B45233" w:rsidRPr="00B45233">
        <w:rPr>
          <w:rFonts w:ascii="Arial" w:eastAsia="Times New Roman" w:hAnsi="Arial" w:cs="Arial"/>
        </w:rPr>
        <w:t>.</w:t>
      </w:r>
    </w:p>
    <w:p w:rsidR="00A52178" w:rsidRDefault="00C45EE2" w:rsidP="00B45233">
      <w:pPr>
        <w:pStyle w:val="ListParagraph"/>
        <w:numPr>
          <w:ilvl w:val="0"/>
          <w:numId w:val="12"/>
        </w:numPr>
        <w:rPr>
          <w:rFonts w:ascii="Arial" w:eastAsia="Times New Roman" w:hAnsi="Arial" w:cs="Arial"/>
        </w:rPr>
      </w:pPr>
      <w:r>
        <w:rPr>
          <w:rFonts w:ascii="Arial" w:eastAsia="Times New Roman" w:hAnsi="Arial" w:cs="Arial"/>
        </w:rPr>
        <w:t>The f</w:t>
      </w:r>
      <w:r w:rsidR="00A52178">
        <w:rPr>
          <w:rFonts w:ascii="Arial" w:eastAsia="Times New Roman" w:hAnsi="Arial" w:cs="Arial"/>
        </w:rPr>
        <w:t xml:space="preserve">aculty will be asked to evaluate syllabi for non-regionally accredited courses and documents for prior learning for </w:t>
      </w:r>
      <w:r>
        <w:rPr>
          <w:rFonts w:ascii="Arial" w:eastAsia="Times New Roman" w:hAnsi="Arial" w:cs="Arial"/>
        </w:rPr>
        <w:t xml:space="preserve">course content and </w:t>
      </w:r>
      <w:bookmarkStart w:id="0" w:name="_GoBack"/>
      <w:bookmarkEnd w:id="0"/>
      <w:r w:rsidR="00A52178">
        <w:rPr>
          <w:rFonts w:ascii="Arial" w:eastAsia="Times New Roman" w:hAnsi="Arial" w:cs="Arial"/>
        </w:rPr>
        <w:t xml:space="preserve">topics </w:t>
      </w:r>
      <w:r>
        <w:rPr>
          <w:rFonts w:ascii="Arial" w:eastAsia="Times New Roman" w:hAnsi="Arial" w:cs="Arial"/>
        </w:rPr>
        <w:t>with</w:t>
      </w:r>
      <w:r w:rsidR="00A52178">
        <w:rPr>
          <w:rFonts w:ascii="Arial" w:eastAsia="Times New Roman" w:hAnsi="Arial" w:cs="Arial"/>
        </w:rPr>
        <w:t>in their discipline.</w:t>
      </w:r>
    </w:p>
    <w:p w:rsidR="00C45EE2" w:rsidRPr="00B45233" w:rsidRDefault="00C45EE2" w:rsidP="00C45EE2">
      <w:pPr>
        <w:pStyle w:val="ListParagraph"/>
        <w:ind w:left="360"/>
        <w:rPr>
          <w:rFonts w:ascii="Arial" w:eastAsia="Times New Roman" w:hAnsi="Arial" w:cs="Arial"/>
        </w:rPr>
      </w:pPr>
    </w:p>
    <w:p w:rsidR="00B62A8C" w:rsidRPr="00BB7FBF" w:rsidRDefault="000E5F81">
      <w:pPr>
        <w:rPr>
          <w:rFonts w:ascii="Arial" w:hAnsi="Arial" w:cs="Arial"/>
        </w:rPr>
      </w:pPr>
      <w:r w:rsidRPr="00E42013">
        <w:rPr>
          <w:rFonts w:ascii="Arial" w:eastAsia="Times New Roman" w:hAnsi="Arial" w:cs="Arial"/>
          <w:b/>
        </w:rPr>
        <w:t>Questions</w:t>
      </w:r>
      <w:r w:rsidRPr="00BB7FBF">
        <w:rPr>
          <w:rFonts w:ascii="Arial" w:eastAsia="Times New Roman" w:hAnsi="Arial" w:cs="Arial"/>
        </w:rPr>
        <w:t xml:space="preserve"> about </w:t>
      </w:r>
      <w:r w:rsidR="00D7686E" w:rsidRPr="00BB7FBF">
        <w:rPr>
          <w:rFonts w:ascii="Arial" w:eastAsia="Times New Roman" w:hAnsi="Arial" w:cs="Arial"/>
        </w:rPr>
        <w:t xml:space="preserve">the </w:t>
      </w:r>
      <w:r w:rsidR="00105B89">
        <w:rPr>
          <w:rFonts w:ascii="Arial" w:eastAsia="Times New Roman" w:hAnsi="Arial" w:cs="Arial"/>
        </w:rPr>
        <w:t xml:space="preserve">two policy amendments </w:t>
      </w:r>
      <w:r w:rsidRPr="00BB7FBF">
        <w:rPr>
          <w:rFonts w:ascii="Arial" w:eastAsia="Times New Roman" w:hAnsi="Arial" w:cs="Arial"/>
        </w:rPr>
        <w:t xml:space="preserve">may be addressed to </w:t>
      </w:r>
      <w:r w:rsidR="00105B89">
        <w:rPr>
          <w:rFonts w:ascii="Arial" w:eastAsia="Times New Roman" w:hAnsi="Arial" w:cs="Arial"/>
        </w:rPr>
        <w:t>Nicole Kontak</w:t>
      </w:r>
      <w:r w:rsidR="003520E5" w:rsidRPr="00BB7FBF">
        <w:rPr>
          <w:rFonts w:ascii="Arial" w:eastAsia="Times New Roman" w:hAnsi="Arial" w:cs="Arial"/>
        </w:rPr>
        <w:t xml:space="preserve">, </w:t>
      </w:r>
      <w:r w:rsidR="00105B89">
        <w:rPr>
          <w:rFonts w:ascii="Arial" w:eastAsia="Times New Roman" w:hAnsi="Arial" w:cs="Arial"/>
        </w:rPr>
        <w:t>Office of Transfer Credit &amp; Articulation, at 626-3212</w:t>
      </w:r>
      <w:r w:rsidR="003520E5" w:rsidRPr="00BB7FBF">
        <w:rPr>
          <w:rFonts w:ascii="Arial" w:eastAsia="Times New Roman" w:hAnsi="Arial" w:cs="Arial"/>
        </w:rPr>
        <w:t>,</w:t>
      </w:r>
      <w:r w:rsidR="00E42013">
        <w:rPr>
          <w:rFonts w:ascii="Arial" w:eastAsia="Times New Roman" w:hAnsi="Arial" w:cs="Arial"/>
        </w:rPr>
        <w:t xml:space="preserve"> or</w:t>
      </w:r>
      <w:r w:rsidR="003520E5" w:rsidRPr="00BB7FBF">
        <w:rPr>
          <w:rFonts w:ascii="Arial" w:eastAsia="Times New Roman" w:hAnsi="Arial" w:cs="Arial"/>
        </w:rPr>
        <w:t xml:space="preserve"> </w:t>
      </w:r>
      <w:hyperlink r:id="rId19" w:history="1">
        <w:r w:rsidR="00105B89" w:rsidRPr="0008473B">
          <w:rPr>
            <w:rStyle w:val="Hyperlink"/>
            <w:rFonts w:ascii="Arial" w:eastAsia="Times New Roman" w:hAnsi="Arial" w:cs="Arial"/>
          </w:rPr>
          <w:t>nicoler@email.arizona.edu</w:t>
        </w:r>
      </w:hyperlink>
      <w:r w:rsidR="00105B89">
        <w:rPr>
          <w:rFonts w:ascii="Arial" w:eastAsia="Times New Roman" w:hAnsi="Arial" w:cs="Arial"/>
        </w:rPr>
        <w:t>.</w:t>
      </w:r>
    </w:p>
    <w:sectPr w:rsidR="00B62A8C" w:rsidRPr="00BB7FBF" w:rsidSect="003D4750">
      <w:headerReference w:type="default" r:id="rId20"/>
      <w:pgSz w:w="12240" w:h="15840"/>
      <w:pgMar w:top="1152"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B03" w:rsidRDefault="00D23B03" w:rsidP="00D23B03">
      <w:r>
        <w:separator/>
      </w:r>
    </w:p>
  </w:endnote>
  <w:endnote w:type="continuationSeparator" w:id="0">
    <w:p w:rsidR="00D23B03" w:rsidRDefault="00D23B03" w:rsidP="00D2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B03" w:rsidRDefault="00D23B03" w:rsidP="00D23B03">
      <w:r>
        <w:separator/>
      </w:r>
    </w:p>
  </w:footnote>
  <w:footnote w:type="continuationSeparator" w:id="0">
    <w:p w:rsidR="00D23B03" w:rsidRDefault="00D23B03" w:rsidP="00D2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815746"/>
      <w:docPartObj>
        <w:docPartGallery w:val="Page Numbers (Top of Page)"/>
        <w:docPartUnique/>
      </w:docPartObj>
    </w:sdtPr>
    <w:sdtEndPr>
      <w:rPr>
        <w:noProof/>
      </w:rPr>
    </w:sdtEndPr>
    <w:sdtContent>
      <w:p w:rsidR="00D23B03" w:rsidRDefault="00D23B03">
        <w:pPr>
          <w:pStyle w:val="Header"/>
          <w:jc w:val="right"/>
        </w:pPr>
        <w:r>
          <w:fldChar w:fldCharType="begin"/>
        </w:r>
        <w:r>
          <w:instrText xml:space="preserve"> PAGE   \* MERGEFORMAT </w:instrText>
        </w:r>
        <w:r>
          <w:fldChar w:fldCharType="separate"/>
        </w:r>
        <w:r w:rsidR="00C45EE2">
          <w:rPr>
            <w:noProof/>
          </w:rPr>
          <w:t>2</w:t>
        </w:r>
        <w:r>
          <w:rPr>
            <w:noProof/>
          </w:rPr>
          <w:fldChar w:fldCharType="end"/>
        </w:r>
      </w:p>
    </w:sdtContent>
  </w:sdt>
  <w:p w:rsidR="00D23B03" w:rsidRDefault="00D23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AF5"/>
    <w:multiLevelType w:val="hybridMultilevel"/>
    <w:tmpl w:val="A0844E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95FC2"/>
    <w:multiLevelType w:val="hybridMultilevel"/>
    <w:tmpl w:val="AB989C4A"/>
    <w:lvl w:ilvl="0" w:tplc="E904F7A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17561"/>
    <w:multiLevelType w:val="hybridMultilevel"/>
    <w:tmpl w:val="B2D6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61D76"/>
    <w:multiLevelType w:val="hybridMultilevel"/>
    <w:tmpl w:val="662E82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6C6EA6"/>
    <w:multiLevelType w:val="hybridMultilevel"/>
    <w:tmpl w:val="5FB64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AC79D0"/>
    <w:multiLevelType w:val="hybridMultilevel"/>
    <w:tmpl w:val="F7006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D80F27"/>
    <w:multiLevelType w:val="hybridMultilevel"/>
    <w:tmpl w:val="04241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D346BA"/>
    <w:multiLevelType w:val="multilevel"/>
    <w:tmpl w:val="341A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376EC"/>
    <w:multiLevelType w:val="hybridMultilevel"/>
    <w:tmpl w:val="36C0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B3DF9"/>
    <w:multiLevelType w:val="hybridMultilevel"/>
    <w:tmpl w:val="58E8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61B4C"/>
    <w:multiLevelType w:val="hybridMultilevel"/>
    <w:tmpl w:val="B8040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1A7DEB"/>
    <w:multiLevelType w:val="hybridMultilevel"/>
    <w:tmpl w:val="10A27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11"/>
  </w:num>
  <w:num w:numId="4">
    <w:abstractNumId w:val="0"/>
  </w:num>
  <w:num w:numId="5">
    <w:abstractNumId w:val="9"/>
  </w:num>
  <w:num w:numId="6">
    <w:abstractNumId w:val="3"/>
  </w:num>
  <w:num w:numId="7">
    <w:abstractNumId w:val="2"/>
  </w:num>
  <w:num w:numId="8">
    <w:abstractNumId w:val="8"/>
  </w:num>
  <w:num w:numId="9">
    <w:abstractNumId w:val="7"/>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F81"/>
    <w:rsid w:val="000E5F81"/>
    <w:rsid w:val="00105B89"/>
    <w:rsid w:val="001E2616"/>
    <w:rsid w:val="00285817"/>
    <w:rsid w:val="00297311"/>
    <w:rsid w:val="0034668B"/>
    <w:rsid w:val="003520E5"/>
    <w:rsid w:val="00383A7B"/>
    <w:rsid w:val="003D4750"/>
    <w:rsid w:val="00587EC1"/>
    <w:rsid w:val="005F2AE3"/>
    <w:rsid w:val="00753F85"/>
    <w:rsid w:val="0078261E"/>
    <w:rsid w:val="0085623D"/>
    <w:rsid w:val="008E1841"/>
    <w:rsid w:val="00A52178"/>
    <w:rsid w:val="00B45233"/>
    <w:rsid w:val="00BA6527"/>
    <w:rsid w:val="00BB7FBF"/>
    <w:rsid w:val="00BD011B"/>
    <w:rsid w:val="00C10B7D"/>
    <w:rsid w:val="00C27AB4"/>
    <w:rsid w:val="00C45EE2"/>
    <w:rsid w:val="00D02CA4"/>
    <w:rsid w:val="00D23B03"/>
    <w:rsid w:val="00D7686E"/>
    <w:rsid w:val="00E22DC4"/>
    <w:rsid w:val="00E345A3"/>
    <w:rsid w:val="00E4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D5FE"/>
  <w15:docId w15:val="{C12000CE-46F6-4BB4-9FE9-83104649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F81"/>
    <w:rPr>
      <w:color w:val="0000FF" w:themeColor="hyperlink"/>
      <w:u w:val="single"/>
    </w:rPr>
  </w:style>
  <w:style w:type="paragraph" w:styleId="BalloonText">
    <w:name w:val="Balloon Text"/>
    <w:basedOn w:val="Normal"/>
    <w:link w:val="BalloonTextChar"/>
    <w:uiPriority w:val="99"/>
    <w:semiHidden/>
    <w:unhideWhenUsed/>
    <w:rsid w:val="000E5F81"/>
    <w:rPr>
      <w:rFonts w:ascii="Tahoma" w:hAnsi="Tahoma" w:cs="Tahoma"/>
      <w:sz w:val="16"/>
      <w:szCs w:val="16"/>
    </w:rPr>
  </w:style>
  <w:style w:type="character" w:customStyle="1" w:styleId="BalloonTextChar">
    <w:name w:val="Balloon Text Char"/>
    <w:basedOn w:val="DefaultParagraphFont"/>
    <w:link w:val="BalloonText"/>
    <w:uiPriority w:val="99"/>
    <w:semiHidden/>
    <w:rsid w:val="000E5F81"/>
    <w:rPr>
      <w:rFonts w:ascii="Tahoma" w:hAnsi="Tahoma" w:cs="Tahoma"/>
      <w:sz w:val="16"/>
      <w:szCs w:val="16"/>
    </w:rPr>
  </w:style>
  <w:style w:type="paragraph" w:styleId="Header">
    <w:name w:val="header"/>
    <w:basedOn w:val="Normal"/>
    <w:link w:val="HeaderChar"/>
    <w:uiPriority w:val="99"/>
    <w:unhideWhenUsed/>
    <w:rsid w:val="00D23B03"/>
    <w:pPr>
      <w:tabs>
        <w:tab w:val="center" w:pos="4680"/>
        <w:tab w:val="right" w:pos="9360"/>
      </w:tabs>
    </w:pPr>
  </w:style>
  <w:style w:type="character" w:customStyle="1" w:styleId="HeaderChar">
    <w:name w:val="Header Char"/>
    <w:basedOn w:val="DefaultParagraphFont"/>
    <w:link w:val="Header"/>
    <w:uiPriority w:val="99"/>
    <w:rsid w:val="00D23B03"/>
  </w:style>
  <w:style w:type="paragraph" w:styleId="Footer">
    <w:name w:val="footer"/>
    <w:basedOn w:val="Normal"/>
    <w:link w:val="FooterChar"/>
    <w:uiPriority w:val="99"/>
    <w:unhideWhenUsed/>
    <w:rsid w:val="00D23B03"/>
    <w:pPr>
      <w:tabs>
        <w:tab w:val="center" w:pos="4680"/>
        <w:tab w:val="right" w:pos="9360"/>
      </w:tabs>
    </w:pPr>
  </w:style>
  <w:style w:type="character" w:customStyle="1" w:styleId="FooterChar">
    <w:name w:val="Footer Char"/>
    <w:basedOn w:val="DefaultParagraphFont"/>
    <w:link w:val="Footer"/>
    <w:uiPriority w:val="99"/>
    <w:rsid w:val="00D23B03"/>
  </w:style>
  <w:style w:type="paragraph" w:styleId="NormalWeb">
    <w:name w:val="Normal (Web)"/>
    <w:basedOn w:val="Normal"/>
    <w:uiPriority w:val="99"/>
    <w:semiHidden/>
    <w:unhideWhenUsed/>
    <w:rsid w:val="00587EC1"/>
    <w:rPr>
      <w:rFonts w:ascii="Times New Roman" w:hAnsi="Times New Roman" w:cs="Times New Roman"/>
      <w:sz w:val="24"/>
      <w:szCs w:val="24"/>
    </w:rPr>
  </w:style>
  <w:style w:type="paragraph" w:styleId="ListParagraph">
    <w:name w:val="List Paragraph"/>
    <w:basedOn w:val="Normal"/>
    <w:uiPriority w:val="34"/>
    <w:qFormat/>
    <w:rsid w:val="00B45233"/>
    <w:pPr>
      <w:ind w:left="720"/>
      <w:contextualSpacing/>
    </w:pPr>
  </w:style>
  <w:style w:type="character" w:styleId="FollowedHyperlink">
    <w:name w:val="FollowedHyperlink"/>
    <w:basedOn w:val="DefaultParagraphFont"/>
    <w:uiPriority w:val="99"/>
    <w:semiHidden/>
    <w:unhideWhenUsed/>
    <w:rsid w:val="00BA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385467">
      <w:bodyDiv w:val="1"/>
      <w:marLeft w:val="0"/>
      <w:marRight w:val="0"/>
      <w:marTop w:val="0"/>
      <w:marBottom w:val="0"/>
      <w:divBdr>
        <w:top w:val="none" w:sz="0" w:space="0" w:color="auto"/>
        <w:left w:val="none" w:sz="0" w:space="0" w:color="auto"/>
        <w:bottom w:val="none" w:sz="0" w:space="0" w:color="auto"/>
        <w:right w:val="none" w:sz="0" w:space="0" w:color="auto"/>
      </w:divBdr>
      <w:divsChild>
        <w:div w:id="1831748047">
          <w:marLeft w:val="0"/>
          <w:marRight w:val="0"/>
          <w:marTop w:val="0"/>
          <w:marBottom w:val="0"/>
          <w:divBdr>
            <w:top w:val="none" w:sz="0" w:space="0" w:color="auto"/>
            <w:left w:val="none" w:sz="0" w:space="0" w:color="auto"/>
            <w:bottom w:val="none" w:sz="0" w:space="0" w:color="auto"/>
            <w:right w:val="none" w:sz="0" w:space="0" w:color="auto"/>
          </w:divBdr>
          <w:divsChild>
            <w:div w:id="316032037">
              <w:marLeft w:val="0"/>
              <w:marRight w:val="0"/>
              <w:marTop w:val="0"/>
              <w:marBottom w:val="0"/>
              <w:divBdr>
                <w:top w:val="none" w:sz="0" w:space="0" w:color="auto"/>
                <w:left w:val="none" w:sz="0" w:space="0" w:color="auto"/>
                <w:bottom w:val="none" w:sz="0" w:space="0" w:color="auto"/>
                <w:right w:val="none" w:sz="0" w:space="0" w:color="auto"/>
              </w:divBdr>
              <w:divsChild>
                <w:div w:id="1684085972">
                  <w:marLeft w:val="-240"/>
                  <w:marRight w:val="-240"/>
                  <w:marTop w:val="0"/>
                  <w:marBottom w:val="0"/>
                  <w:divBdr>
                    <w:top w:val="none" w:sz="0" w:space="0" w:color="auto"/>
                    <w:left w:val="none" w:sz="0" w:space="0" w:color="auto"/>
                    <w:bottom w:val="none" w:sz="0" w:space="0" w:color="auto"/>
                    <w:right w:val="none" w:sz="0" w:space="0" w:color="auto"/>
                  </w:divBdr>
                  <w:divsChild>
                    <w:div w:id="1392656658">
                      <w:marLeft w:val="0"/>
                      <w:marRight w:val="0"/>
                      <w:marTop w:val="0"/>
                      <w:marBottom w:val="0"/>
                      <w:divBdr>
                        <w:top w:val="none" w:sz="0" w:space="0" w:color="auto"/>
                        <w:left w:val="none" w:sz="0" w:space="0" w:color="auto"/>
                        <w:bottom w:val="none" w:sz="0" w:space="0" w:color="auto"/>
                        <w:right w:val="none" w:sz="0" w:space="0" w:color="auto"/>
                      </w:divBdr>
                      <w:divsChild>
                        <w:div w:id="1325278313">
                          <w:marLeft w:val="0"/>
                          <w:marRight w:val="0"/>
                          <w:marTop w:val="0"/>
                          <w:marBottom w:val="0"/>
                          <w:divBdr>
                            <w:top w:val="none" w:sz="0" w:space="0" w:color="auto"/>
                            <w:left w:val="none" w:sz="0" w:space="0" w:color="auto"/>
                            <w:bottom w:val="none" w:sz="0" w:space="0" w:color="auto"/>
                            <w:right w:val="none" w:sz="0" w:space="0" w:color="auto"/>
                          </w:divBdr>
                          <w:divsChild>
                            <w:div w:id="9021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rizona.edu/policy/non-regionally-accredited-course-work-transfer-policy" TargetMode="External"/><Relationship Id="rId13" Type="http://schemas.openxmlformats.org/officeDocument/2006/relationships/hyperlink" Target="https://catalog.arizona.edu/policy/graduation-grade-averages-and-credit-requirements" TargetMode="External"/><Relationship Id="rId18" Type="http://schemas.openxmlformats.org/officeDocument/2006/relationships/hyperlink" Target="https://transfercredit.arizona.edu/content/non-regionally-accredited-course-wor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atalog.arizona.edu/policy/acceptability-undergraduate-transfer-credit" TargetMode="External"/><Relationship Id="rId12" Type="http://schemas.openxmlformats.org/officeDocument/2006/relationships/hyperlink" Target="https://transfercredit.arizona.edu/" TargetMode="External"/><Relationship Id="rId17" Type="http://schemas.openxmlformats.org/officeDocument/2006/relationships/hyperlink" Target="https://transfercredit.arizona.edu/content/credit-prior-learning" TargetMode="External"/><Relationship Id="rId2" Type="http://schemas.openxmlformats.org/officeDocument/2006/relationships/styles" Target="styles.xml"/><Relationship Id="rId16" Type="http://schemas.openxmlformats.org/officeDocument/2006/relationships/hyperlink" Target="http://directory.arizona.edu/departmen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arizona.edu/policy/proficiencycompetency-and-exemption-examinations-special-examination-credit-or-grade" TargetMode="External"/><Relationship Id="rId5" Type="http://schemas.openxmlformats.org/officeDocument/2006/relationships/footnotes" Target="footnotes.xml"/><Relationship Id="rId15" Type="http://schemas.openxmlformats.org/officeDocument/2006/relationships/hyperlink" Target="https://www.registrar.arizona.edu/academics/transfer-credit-approval" TargetMode="External"/><Relationship Id="rId10" Type="http://schemas.openxmlformats.org/officeDocument/2006/relationships/hyperlink" Target="https://catalog.arizona.edu/policy/success-courses-definition-policies-and-guidelines" TargetMode="External"/><Relationship Id="rId19" Type="http://schemas.openxmlformats.org/officeDocument/2006/relationships/hyperlink" Target="mailto:nicoler@email.arizona.edu" TargetMode="External"/><Relationship Id="rId4" Type="http://schemas.openxmlformats.org/officeDocument/2006/relationships/webSettings" Target="webSettings.xml"/><Relationship Id="rId9" Type="http://schemas.openxmlformats.org/officeDocument/2006/relationships/hyperlink" Target="https://catalog.arizona.edu/policy/credit-prior-learning-prior-learning-assessment-policy" TargetMode="External"/><Relationship Id="rId14" Type="http://schemas.openxmlformats.org/officeDocument/2006/relationships/hyperlink" Target="http://www.advising.arizon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2</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Pardee</dc:creator>
  <cp:lastModifiedBy>Pardee, Celeste F.</cp:lastModifiedBy>
  <cp:revision>8</cp:revision>
  <dcterms:created xsi:type="dcterms:W3CDTF">2016-07-06T18:08:00Z</dcterms:created>
  <dcterms:modified xsi:type="dcterms:W3CDTF">2018-11-16T16:35:00Z</dcterms:modified>
</cp:coreProperties>
</file>