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10" w:rsidRPr="00B622F0" w:rsidRDefault="006266CA" w:rsidP="006266C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Update to </w:t>
      </w:r>
      <w:r w:rsidR="0090353A" w:rsidRPr="00B622F0">
        <w:rPr>
          <w:rFonts w:asciiTheme="minorHAnsi" w:hAnsiTheme="minorHAnsi" w:cstheme="minorHAnsi"/>
          <w:sz w:val="24"/>
          <w:szCs w:val="24"/>
        </w:rPr>
        <w:t>the</w:t>
      </w:r>
      <w:r w:rsidR="004F4610" w:rsidRPr="00B622F0">
        <w:rPr>
          <w:rFonts w:asciiTheme="minorHAnsi" w:hAnsiTheme="minorHAnsi" w:cstheme="minorHAnsi"/>
          <w:sz w:val="24"/>
          <w:szCs w:val="24"/>
        </w:rPr>
        <w:t xml:space="preserve"> </w:t>
      </w:r>
      <w:r w:rsidR="004F4610" w:rsidRPr="00B622F0">
        <w:rPr>
          <w:rFonts w:asciiTheme="minorHAnsi" w:hAnsiTheme="minorHAnsi" w:cstheme="minorHAnsi"/>
          <w:bCs w:val="0"/>
          <w:color w:val="49595E"/>
          <w:spacing w:val="-1"/>
          <w:sz w:val="24"/>
          <w:szCs w:val="24"/>
        </w:rPr>
        <w:t>Undergraduate Cooperative Education Program</w:t>
      </w:r>
      <w:r w:rsidR="0090353A" w:rsidRPr="00B622F0">
        <w:rPr>
          <w:rFonts w:asciiTheme="minorHAnsi" w:hAnsiTheme="minorHAnsi" w:cstheme="minorHAnsi"/>
          <w:bCs w:val="0"/>
          <w:color w:val="49595E"/>
          <w:spacing w:val="-1"/>
          <w:sz w:val="24"/>
          <w:szCs w:val="24"/>
        </w:rPr>
        <w:t xml:space="preserve"> </w:t>
      </w:r>
      <w:r w:rsidR="0090353A" w:rsidRPr="00B622F0">
        <w:rPr>
          <w:rFonts w:asciiTheme="minorHAnsi" w:hAnsiTheme="minorHAnsi" w:cstheme="minorHAnsi"/>
          <w:sz w:val="24"/>
          <w:szCs w:val="24"/>
        </w:rPr>
        <w:t>Policy</w:t>
      </w:r>
    </w:p>
    <w:p w:rsidR="00E56466" w:rsidRDefault="0090353A" w:rsidP="0090353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  <w:r w:rsidRPr="00B622F0">
        <w:rPr>
          <w:rFonts w:asciiTheme="minorHAnsi" w:hAnsiTheme="minorHAnsi" w:cstheme="minorHAnsi"/>
          <w:b w:val="0"/>
          <w:i/>
          <w:sz w:val="24"/>
          <w:szCs w:val="24"/>
        </w:rPr>
        <w:t>Submitted by the Registrar’s Office and Office of Scholarships/Financial Aid, 4/9/18; approved by the Undergraduate Council, 4/10/18</w:t>
      </w:r>
      <w:r w:rsidR="00071909">
        <w:rPr>
          <w:rFonts w:asciiTheme="minorHAnsi" w:hAnsiTheme="minorHAnsi" w:cstheme="minorHAnsi"/>
          <w:b w:val="0"/>
          <w:i/>
          <w:sz w:val="24"/>
          <w:szCs w:val="24"/>
        </w:rPr>
        <w:t>; College Academic Administrators Council, 4/24/18</w:t>
      </w:r>
      <w:r w:rsidR="00E56466">
        <w:rPr>
          <w:rFonts w:asciiTheme="minorHAnsi" w:hAnsiTheme="minorHAnsi" w:cstheme="minorHAnsi"/>
          <w:b w:val="0"/>
          <w:i/>
          <w:sz w:val="24"/>
          <w:szCs w:val="24"/>
        </w:rPr>
        <w:t xml:space="preserve">; </w:t>
      </w:r>
    </w:p>
    <w:p w:rsidR="0090353A" w:rsidRPr="00B622F0" w:rsidRDefault="00E56466" w:rsidP="0090353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i/>
          <w:sz w:val="24"/>
          <w:szCs w:val="24"/>
        </w:rPr>
        <w:t>Provost’s Council, 5/4/18</w:t>
      </w:r>
      <w:r w:rsidR="00B0506E">
        <w:rPr>
          <w:rFonts w:asciiTheme="minorHAnsi" w:hAnsiTheme="minorHAnsi" w:cstheme="minorHAnsi"/>
          <w:b w:val="0"/>
          <w:i/>
          <w:sz w:val="24"/>
          <w:szCs w:val="24"/>
        </w:rPr>
        <w:t xml:space="preserve">; </w:t>
      </w:r>
      <w:r w:rsidR="006266CA">
        <w:rPr>
          <w:rFonts w:asciiTheme="minorHAnsi" w:hAnsiTheme="minorHAnsi" w:cstheme="minorHAnsi"/>
          <w:b w:val="0"/>
          <w:i/>
          <w:sz w:val="24"/>
          <w:szCs w:val="24"/>
        </w:rPr>
        <w:t xml:space="preserve">and </w:t>
      </w:r>
      <w:bookmarkStart w:id="0" w:name="_GoBack"/>
      <w:bookmarkEnd w:id="0"/>
      <w:r w:rsidR="00B0506E">
        <w:rPr>
          <w:rFonts w:asciiTheme="minorHAnsi" w:hAnsiTheme="minorHAnsi" w:cstheme="minorHAnsi"/>
          <w:b w:val="0"/>
          <w:i/>
          <w:sz w:val="24"/>
          <w:szCs w:val="24"/>
        </w:rPr>
        <w:t>Faculty Senate, 5/7/18</w:t>
      </w:r>
      <w:r>
        <w:rPr>
          <w:rFonts w:asciiTheme="minorHAnsi" w:hAnsiTheme="minorHAnsi" w:cstheme="minorHAnsi"/>
          <w:b w:val="0"/>
          <w:i/>
          <w:sz w:val="24"/>
          <w:szCs w:val="24"/>
        </w:rPr>
        <w:t>.</w:t>
      </w:r>
    </w:p>
    <w:p w:rsidR="004F4610" w:rsidRPr="00B622F0" w:rsidRDefault="00FB3097" w:rsidP="004F4610">
      <w:pPr>
        <w:pStyle w:val="Heading1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  <w:b w:val="0"/>
          <w:bCs w:val="0"/>
          <w:color w:val="49595E"/>
          <w:spacing w:val="-1"/>
          <w:sz w:val="22"/>
          <w:szCs w:val="22"/>
        </w:rPr>
      </w:pPr>
      <w:r>
        <w:rPr>
          <w:rFonts w:asciiTheme="minorHAnsi" w:hAnsiTheme="minorHAnsi" w:cstheme="minorHAnsi"/>
          <w:bCs w:val="0"/>
          <w:color w:val="49595E"/>
          <w:spacing w:val="-1"/>
          <w:sz w:val="22"/>
          <w:szCs w:val="22"/>
        </w:rPr>
        <w:t>Approv</w:t>
      </w:r>
      <w:r w:rsidR="0090353A" w:rsidRPr="00B622F0">
        <w:rPr>
          <w:rFonts w:asciiTheme="minorHAnsi" w:hAnsiTheme="minorHAnsi" w:cstheme="minorHAnsi"/>
          <w:bCs w:val="0"/>
          <w:color w:val="49595E"/>
          <w:spacing w:val="-1"/>
          <w:sz w:val="22"/>
          <w:szCs w:val="22"/>
        </w:rPr>
        <w:t xml:space="preserve">ed revisions to the </w:t>
      </w:r>
      <w:r w:rsidR="004F4610" w:rsidRPr="00B622F0">
        <w:rPr>
          <w:rFonts w:asciiTheme="minorHAnsi" w:hAnsiTheme="minorHAnsi" w:cstheme="minorHAnsi"/>
          <w:bCs w:val="0"/>
          <w:color w:val="49595E"/>
          <w:spacing w:val="-1"/>
          <w:sz w:val="22"/>
          <w:szCs w:val="22"/>
        </w:rPr>
        <w:t>Undergraduate Cooperative Education Program</w:t>
      </w:r>
      <w:r w:rsidR="0090353A" w:rsidRPr="00B622F0">
        <w:rPr>
          <w:rFonts w:asciiTheme="minorHAnsi" w:hAnsiTheme="minorHAnsi" w:cstheme="minorHAnsi"/>
          <w:bCs w:val="0"/>
          <w:color w:val="49595E"/>
          <w:spacing w:val="-1"/>
          <w:sz w:val="22"/>
          <w:szCs w:val="22"/>
        </w:rPr>
        <w:t xml:space="preserve"> policy</w:t>
      </w:r>
      <w:r w:rsidR="0090353A" w:rsidRPr="00B622F0">
        <w:rPr>
          <w:rFonts w:asciiTheme="minorHAnsi" w:hAnsiTheme="minorHAnsi" w:cstheme="minorHAnsi"/>
          <w:b w:val="0"/>
          <w:bCs w:val="0"/>
          <w:color w:val="49595E"/>
          <w:spacing w:val="-1"/>
          <w:sz w:val="22"/>
          <w:szCs w:val="22"/>
        </w:rPr>
        <w:t xml:space="preserve">, </w:t>
      </w:r>
      <w:hyperlink r:id="rId4" w:history="1">
        <w:r w:rsidR="0090353A" w:rsidRPr="00B622F0">
          <w:rPr>
            <w:rStyle w:val="Hyperlink"/>
            <w:rFonts w:asciiTheme="minorHAnsi" w:hAnsiTheme="minorHAnsi" w:cstheme="minorHAnsi"/>
            <w:b w:val="0"/>
            <w:bCs w:val="0"/>
            <w:spacing w:val="-1"/>
            <w:sz w:val="22"/>
            <w:szCs w:val="22"/>
          </w:rPr>
          <w:t>http://catalog.arizona.edu/policy/undergraduate-cooperative-education-program</w:t>
        </w:r>
      </w:hyperlink>
      <w:r w:rsidR="002905EE">
        <w:rPr>
          <w:rStyle w:val="Hyperlink"/>
          <w:rFonts w:asciiTheme="minorHAnsi" w:hAnsiTheme="minorHAnsi" w:cstheme="minorHAnsi"/>
          <w:b w:val="0"/>
          <w:bCs w:val="0"/>
          <w:spacing w:val="-1"/>
          <w:sz w:val="22"/>
          <w:szCs w:val="22"/>
        </w:rPr>
        <w:t>:</w:t>
      </w:r>
      <w:r w:rsidR="0090353A" w:rsidRPr="00B622F0">
        <w:rPr>
          <w:rFonts w:asciiTheme="minorHAnsi" w:hAnsiTheme="minorHAnsi" w:cstheme="minorHAnsi"/>
          <w:b w:val="0"/>
          <w:bCs w:val="0"/>
          <w:color w:val="49595E"/>
          <w:spacing w:val="-1"/>
          <w:sz w:val="22"/>
          <w:szCs w:val="22"/>
        </w:rPr>
        <w:t xml:space="preserve"> </w:t>
      </w:r>
    </w:p>
    <w:p w:rsidR="004F4610" w:rsidRPr="00B622F0" w:rsidRDefault="004F4610" w:rsidP="0090353A">
      <w:pPr>
        <w:pStyle w:val="NormalWeb"/>
        <w:spacing w:before="0" w:beforeAutospacing="0" w:after="180" w:afterAutospacing="0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B622F0">
        <w:rPr>
          <w:rFonts w:asciiTheme="minorHAnsi" w:hAnsiTheme="minorHAnsi" w:cstheme="minorHAnsi"/>
          <w:i/>
          <w:sz w:val="22"/>
          <w:szCs w:val="22"/>
        </w:rPr>
        <w:t>Undergraduates seeking work experience related to their academic program and career goals prior to graduation may apply for the Cooperative Education Program through </w:t>
      </w:r>
      <w:hyperlink r:id="rId5" w:tgtFrame="_blank" w:history="1">
        <w:r w:rsidR="002E4D3C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Student Engagement and</w:t>
        </w:r>
        <w:r w:rsidRPr="00B622F0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 xml:space="preserve"> Career </w:t>
        </w:r>
        <w:r w:rsidR="002E4D3C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Development</w:t>
        </w:r>
        <w:r w:rsidR="0090353A" w:rsidRPr="00B622F0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 xml:space="preserve"> </w:t>
        </w:r>
        <w:r w:rsidRPr="00B622F0">
          <w:rPr>
            <w:rStyle w:val="element-invisible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(link is external)</w:t>
        </w:r>
      </w:hyperlink>
      <w:r w:rsidRPr="00B622F0">
        <w:rPr>
          <w:rFonts w:asciiTheme="minorHAnsi" w:hAnsiTheme="minorHAnsi" w:cstheme="minorHAnsi"/>
          <w:i/>
          <w:sz w:val="22"/>
          <w:szCs w:val="22"/>
        </w:rPr>
        <w:t>.  Cooperative education (Co-op) enables students to alternate semesters of full-time course work with a semester and/or summer of full-time paid professional experience in the field.  Co-op helps students explore and confirm their career choice.</w:t>
      </w:r>
    </w:p>
    <w:p w:rsidR="004F4610" w:rsidRPr="00B622F0" w:rsidRDefault="004F4610" w:rsidP="0090353A">
      <w:pPr>
        <w:pStyle w:val="Heading3"/>
        <w:spacing w:before="240" w:after="120"/>
        <w:ind w:left="720"/>
        <w:rPr>
          <w:rFonts w:asciiTheme="minorHAnsi" w:hAnsiTheme="minorHAnsi" w:cstheme="minorHAnsi"/>
          <w:i/>
          <w:color w:val="49595E"/>
          <w:sz w:val="22"/>
          <w:szCs w:val="22"/>
        </w:rPr>
      </w:pPr>
      <w:r w:rsidRPr="00B622F0">
        <w:rPr>
          <w:rFonts w:asciiTheme="minorHAnsi" w:hAnsiTheme="minorHAnsi" w:cstheme="minorHAnsi"/>
          <w:b/>
          <w:bCs/>
          <w:i/>
          <w:color w:val="49595E"/>
          <w:sz w:val="22"/>
          <w:szCs w:val="22"/>
        </w:rPr>
        <w:t>Co-op Requirements</w:t>
      </w:r>
    </w:p>
    <w:p w:rsidR="004F4610" w:rsidRPr="00B622F0" w:rsidRDefault="004F4610" w:rsidP="0090353A">
      <w:pPr>
        <w:pStyle w:val="NormalWeb"/>
        <w:spacing w:before="0" w:beforeAutospacing="0" w:after="180" w:afterAutospacing="0"/>
        <w:ind w:left="720"/>
        <w:rPr>
          <w:rFonts w:asciiTheme="minorHAnsi" w:hAnsiTheme="minorHAnsi" w:cstheme="minorHAnsi"/>
          <w:i/>
          <w:strike/>
          <w:sz w:val="22"/>
          <w:szCs w:val="22"/>
        </w:rPr>
      </w:pPr>
      <w:r w:rsidRPr="00B622F0">
        <w:rPr>
          <w:rFonts w:asciiTheme="minorHAnsi" w:hAnsiTheme="minorHAnsi" w:cstheme="minorHAnsi"/>
          <w:i/>
          <w:sz w:val="22"/>
          <w:szCs w:val="22"/>
        </w:rPr>
        <w:t>To qualify, students must have full-time status and a minimum cumulative 2.500 GPA. Students with senior status may participate in Co-op as long as one full-time semester of course work remains to complete their degree requirements after they return from a co-op experience.  Once approved for the program by Career Services, students may register for COOP 100, Career-Related Experience, a 1-unit course taken for audit (i.e., no credit).  COOP 100 maintains a student's</w:t>
      </w:r>
      <w:r w:rsidR="0090353A" w:rsidRPr="00B622F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22F0">
        <w:rPr>
          <w:rFonts w:asciiTheme="minorHAnsi" w:hAnsiTheme="minorHAnsi" w:cstheme="minorHAnsi"/>
          <w:i/>
          <w:sz w:val="22"/>
          <w:szCs w:val="22"/>
        </w:rPr>
        <w:t>active status at the University, similar to a </w:t>
      </w:r>
      <w:hyperlink r:id="rId6" w:history="1">
        <w:r w:rsidRPr="00B622F0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Leave of Absence</w:t>
        </w:r>
      </w:hyperlink>
      <w:r w:rsidRPr="00B622F0">
        <w:rPr>
          <w:rFonts w:asciiTheme="minorHAnsi" w:hAnsiTheme="minorHAnsi" w:cstheme="minorHAnsi"/>
          <w:i/>
          <w:sz w:val="22"/>
          <w:szCs w:val="22"/>
        </w:rPr>
        <w:t>.  While COOP 100 may be repeated, enrollment is limited to non-consecutive regular semesters, consecutive summer sessions, or one regular semester combined with summer sessions.  </w:t>
      </w:r>
      <w:r w:rsidRPr="00B622F0">
        <w:rPr>
          <w:rFonts w:asciiTheme="minorHAnsi" w:hAnsiTheme="minorHAnsi" w:cstheme="minorHAnsi"/>
          <w:i/>
          <w:strike/>
          <w:sz w:val="22"/>
          <w:szCs w:val="22"/>
          <w:highlight w:val="yellow"/>
        </w:rPr>
        <w:t>Enrollment in COOP 100 does not maintain full-time status for financial aid or insurance purposes.  Interested students should check with their scholarship or </w:t>
      </w:r>
      <w:hyperlink r:id="rId7" w:tgtFrame="_blank" w:history="1">
        <w:r w:rsidRPr="00B622F0">
          <w:rPr>
            <w:rStyle w:val="Hyperlink"/>
            <w:rFonts w:asciiTheme="minorHAnsi" w:hAnsiTheme="minorHAnsi" w:cstheme="minorHAnsi"/>
            <w:b/>
            <w:bCs/>
            <w:i/>
            <w:strike/>
            <w:color w:val="8F1124"/>
            <w:sz w:val="22"/>
            <w:szCs w:val="22"/>
            <w:highlight w:val="yellow"/>
          </w:rPr>
          <w:t>financial aid</w:t>
        </w:r>
        <w:r w:rsidRPr="00B622F0">
          <w:rPr>
            <w:rStyle w:val="element-invisible"/>
            <w:rFonts w:asciiTheme="minorHAnsi" w:hAnsiTheme="minorHAnsi" w:cstheme="minorHAnsi"/>
            <w:b/>
            <w:bCs/>
            <w:i/>
            <w:strike/>
            <w:color w:val="8F1124"/>
            <w:sz w:val="22"/>
            <w:szCs w:val="22"/>
            <w:highlight w:val="yellow"/>
          </w:rPr>
          <w:t>(link is external)</w:t>
        </w:r>
      </w:hyperlink>
      <w:r w:rsidRPr="00B622F0">
        <w:rPr>
          <w:rFonts w:asciiTheme="minorHAnsi" w:hAnsiTheme="minorHAnsi" w:cstheme="minorHAnsi"/>
          <w:i/>
          <w:strike/>
          <w:sz w:val="22"/>
          <w:szCs w:val="22"/>
          <w:highlight w:val="yellow"/>
        </w:rPr>
        <w:t> counselor to find out how a co-op experience will affect their scholarship award or financial aid status.</w:t>
      </w:r>
    </w:p>
    <w:p w:rsidR="004F4610" w:rsidRPr="00B622F0" w:rsidRDefault="004F4610" w:rsidP="0090353A">
      <w:pPr>
        <w:pStyle w:val="NormalWeb"/>
        <w:spacing w:before="0" w:beforeAutospacing="0" w:after="180" w:afterAutospacing="0"/>
        <w:ind w:left="720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Students </w:t>
      </w:r>
      <w:r w:rsidR="00E56466">
        <w:rPr>
          <w:rFonts w:asciiTheme="minorHAnsi" w:hAnsiTheme="minorHAnsi" w:cstheme="minorHAnsi"/>
          <w:i/>
          <w:sz w:val="22"/>
          <w:szCs w:val="22"/>
          <w:highlight w:val="yellow"/>
        </w:rPr>
        <w:t>registered for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COOP 100</w:t>
      </w:r>
      <w:r w:rsidR="002905EE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</w:t>
      </w:r>
      <w:proofErr w:type="gramStart"/>
      <w:r w:rsidR="00E56466">
        <w:rPr>
          <w:rFonts w:asciiTheme="minorHAnsi" w:hAnsiTheme="minorHAnsi" w:cstheme="minorHAnsi"/>
          <w:i/>
          <w:sz w:val="22"/>
          <w:szCs w:val="22"/>
          <w:highlight w:val="yellow"/>
        </w:rPr>
        <w:t>will be considered</w:t>
      </w:r>
      <w:proofErr w:type="gramEnd"/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</w:t>
      </w:r>
      <w:r w:rsidR="00E56466">
        <w:rPr>
          <w:rFonts w:asciiTheme="minorHAnsi" w:hAnsiTheme="minorHAnsi" w:cstheme="minorHAnsi"/>
          <w:i/>
          <w:sz w:val="22"/>
          <w:szCs w:val="22"/>
          <w:highlight w:val="yellow"/>
        </w:rPr>
        <w:t>full-time</w:t>
      </w:r>
      <w:r w:rsidR="002905EE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</w:t>
      </w:r>
      <w:r w:rsidR="002905EE"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>for enrollment verification purposes</w:t>
      </w:r>
      <w:r w:rsidR="00B0506E">
        <w:rPr>
          <w:rFonts w:asciiTheme="minorHAnsi" w:hAnsiTheme="minorHAnsi" w:cstheme="minorHAnsi"/>
          <w:i/>
          <w:sz w:val="22"/>
          <w:szCs w:val="22"/>
          <w:highlight w:val="yellow"/>
        </w:rPr>
        <w:t>,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includ</w:t>
      </w:r>
      <w:r w:rsidR="00B0506E">
        <w:rPr>
          <w:rFonts w:asciiTheme="minorHAnsi" w:hAnsiTheme="minorHAnsi" w:cstheme="minorHAnsi"/>
          <w:i/>
          <w:sz w:val="22"/>
          <w:szCs w:val="22"/>
          <w:highlight w:val="yellow"/>
        </w:rPr>
        <w:t>ing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</w:t>
      </w:r>
      <w:r w:rsidR="00B0506E">
        <w:rPr>
          <w:rFonts w:asciiTheme="minorHAnsi" w:hAnsiTheme="minorHAnsi" w:cstheme="minorHAnsi"/>
          <w:i/>
          <w:sz w:val="22"/>
          <w:szCs w:val="22"/>
          <w:highlight w:val="yellow"/>
        </w:rPr>
        <w:t>notif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>ication to the National Student C</w:t>
      </w:r>
      <w:r w:rsidR="00B0506E">
        <w:rPr>
          <w:rFonts w:asciiTheme="minorHAnsi" w:hAnsiTheme="minorHAnsi" w:cstheme="minorHAnsi"/>
          <w:i/>
          <w:sz w:val="22"/>
          <w:szCs w:val="22"/>
          <w:highlight w:val="yellow"/>
        </w:rPr>
        <w:t>learinghouse for loan deferment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>. </w:t>
      </w:r>
      <w:r w:rsidR="00E56466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However, </w:t>
      </w:r>
      <w:r w:rsidRPr="00B622F0">
        <w:rPr>
          <w:rFonts w:asciiTheme="minorHAnsi" w:hAnsiTheme="minorHAnsi" w:cstheme="minorHAnsi"/>
          <w:i/>
          <w:sz w:val="22"/>
          <w:szCs w:val="22"/>
          <w:highlight w:val="yellow"/>
        </w:rPr>
        <w:t>COOP 100 does not count towards enrolled hours needed for financial aid disbursement.</w:t>
      </w:r>
    </w:p>
    <w:p w:rsidR="004F4610" w:rsidRPr="00B622F0" w:rsidRDefault="004F4610" w:rsidP="0090353A">
      <w:pPr>
        <w:pStyle w:val="NormalWeb"/>
        <w:spacing w:before="0" w:beforeAutospacing="0" w:after="180" w:afterAutospacing="0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B622F0">
        <w:rPr>
          <w:rFonts w:asciiTheme="minorHAnsi" w:hAnsiTheme="minorHAnsi" w:cstheme="minorHAnsi"/>
          <w:i/>
          <w:strike/>
          <w:sz w:val="22"/>
          <w:szCs w:val="22"/>
          <w:highlight w:val="yellow"/>
        </w:rPr>
        <w:t>Successful completion of a co-op experience or </w:t>
      </w:r>
      <w:hyperlink r:id="rId8" w:tgtFrame="_blank" w:history="1">
        <w:r w:rsidRPr="00B622F0">
          <w:rPr>
            <w:rStyle w:val="Hyperlink"/>
            <w:rFonts w:asciiTheme="minorHAnsi" w:hAnsiTheme="minorHAnsi" w:cstheme="minorHAnsi"/>
            <w:b/>
            <w:bCs/>
            <w:i/>
            <w:strike/>
            <w:color w:val="8F1124"/>
            <w:sz w:val="22"/>
            <w:szCs w:val="22"/>
            <w:highlight w:val="yellow"/>
          </w:rPr>
          <w:t>internship</w:t>
        </w:r>
        <w:r w:rsidRPr="00B622F0">
          <w:rPr>
            <w:rStyle w:val="element-invisible"/>
            <w:rFonts w:asciiTheme="minorHAnsi" w:hAnsiTheme="minorHAnsi" w:cstheme="minorHAnsi"/>
            <w:b/>
            <w:bCs/>
            <w:i/>
            <w:strike/>
            <w:color w:val="8F1124"/>
            <w:sz w:val="22"/>
            <w:szCs w:val="22"/>
            <w:highlight w:val="yellow"/>
          </w:rPr>
          <w:t>(link is external)</w:t>
        </w:r>
      </w:hyperlink>
      <w:r w:rsidRPr="00B622F0">
        <w:rPr>
          <w:rFonts w:asciiTheme="minorHAnsi" w:hAnsiTheme="minorHAnsi" w:cstheme="minorHAnsi"/>
          <w:i/>
          <w:strike/>
          <w:sz w:val="22"/>
          <w:szCs w:val="22"/>
          <w:highlight w:val="yellow"/>
        </w:rPr>
        <w:t> is encouraged in many UA degree programs.</w:t>
      </w:r>
      <w:r w:rsidRPr="00B622F0">
        <w:rPr>
          <w:rFonts w:asciiTheme="minorHAnsi" w:hAnsiTheme="minorHAnsi" w:cstheme="minorHAnsi"/>
          <w:i/>
          <w:sz w:val="22"/>
          <w:szCs w:val="22"/>
        </w:rPr>
        <w:t xml:space="preserve">  </w:t>
      </w:r>
      <w:r w:rsidRPr="00B622F0">
        <w:rPr>
          <w:rStyle w:val="Strong"/>
          <w:rFonts w:asciiTheme="minorHAnsi" w:hAnsiTheme="minorHAnsi" w:cstheme="minorHAnsi"/>
          <w:i/>
          <w:sz w:val="22"/>
          <w:szCs w:val="22"/>
        </w:rPr>
        <w:t>To ensure that a career-related work experience will support their academic and career goals, interested students should consult with their</w:t>
      </w:r>
      <w:r w:rsidRPr="00B622F0">
        <w:rPr>
          <w:rFonts w:asciiTheme="minorHAnsi" w:hAnsiTheme="minorHAnsi" w:cstheme="minorHAnsi"/>
          <w:i/>
          <w:sz w:val="22"/>
          <w:szCs w:val="22"/>
        </w:rPr>
        <w:t> </w:t>
      </w:r>
      <w:hyperlink r:id="rId9" w:tgtFrame="_blank" w:history="1">
        <w:r w:rsidRPr="00B622F0">
          <w:rPr>
            <w:rStyle w:val="Hyperlink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major academic advisor</w:t>
        </w:r>
        <w:r w:rsidRPr="00B622F0">
          <w:rPr>
            <w:rStyle w:val="element-invisible"/>
            <w:rFonts w:asciiTheme="minorHAnsi" w:hAnsiTheme="minorHAnsi" w:cstheme="minorHAnsi"/>
            <w:b/>
            <w:bCs/>
            <w:i/>
            <w:color w:val="8F1124"/>
            <w:sz w:val="22"/>
            <w:szCs w:val="22"/>
          </w:rPr>
          <w:t>(link is external)</w:t>
        </w:r>
      </w:hyperlink>
      <w:r w:rsidRPr="00B622F0">
        <w:rPr>
          <w:rFonts w:asciiTheme="minorHAnsi" w:hAnsiTheme="minorHAnsi" w:cstheme="minorHAnsi"/>
          <w:i/>
          <w:sz w:val="22"/>
          <w:szCs w:val="22"/>
        </w:rPr>
        <w:t>.</w:t>
      </w:r>
    </w:p>
    <w:p w:rsidR="002315E5" w:rsidRPr="00B622F0" w:rsidRDefault="0090353A">
      <w:pPr>
        <w:rPr>
          <w:rFonts w:cstheme="minorHAnsi"/>
          <w:b/>
        </w:rPr>
      </w:pPr>
      <w:r w:rsidRPr="00B622F0">
        <w:rPr>
          <w:rFonts w:cstheme="minorHAnsi"/>
          <w:b/>
        </w:rPr>
        <w:t>Justification:</w:t>
      </w:r>
    </w:p>
    <w:p w:rsidR="0090353A" w:rsidRPr="00B622F0" w:rsidRDefault="008655C9">
      <w:pPr>
        <w:rPr>
          <w:rFonts w:cstheme="minorHAnsi"/>
        </w:rPr>
      </w:pPr>
      <w:r w:rsidRPr="00B622F0">
        <w:rPr>
          <w:rFonts w:cstheme="minorHAnsi"/>
        </w:rPr>
        <w:t>An o</w:t>
      </w:r>
      <w:r w:rsidR="00AB6A81" w:rsidRPr="00B622F0">
        <w:rPr>
          <w:rFonts w:cstheme="minorHAnsi"/>
        </w:rPr>
        <w:t>fficial co-op experience</w:t>
      </w:r>
      <w:r w:rsidRPr="00B622F0">
        <w:rPr>
          <w:rFonts w:cstheme="minorHAnsi"/>
        </w:rPr>
        <w:t xml:space="preserve"> </w:t>
      </w:r>
      <w:proofErr w:type="gramStart"/>
      <w:r w:rsidRPr="00B622F0">
        <w:rPr>
          <w:rFonts w:cstheme="minorHAnsi"/>
        </w:rPr>
        <w:t>is sanctioned</w:t>
      </w:r>
      <w:proofErr w:type="gramEnd"/>
      <w:r w:rsidRPr="00B622F0">
        <w:rPr>
          <w:rFonts w:cstheme="minorHAnsi"/>
        </w:rPr>
        <w:t xml:space="preserve"> by the </w:t>
      </w:r>
      <w:r w:rsidR="00620D7B">
        <w:rPr>
          <w:rFonts w:cstheme="minorHAnsi"/>
        </w:rPr>
        <w:t>student’s major</w:t>
      </w:r>
      <w:r w:rsidRPr="00B622F0">
        <w:rPr>
          <w:rFonts w:cstheme="minorHAnsi"/>
        </w:rPr>
        <w:t xml:space="preserve"> department and serves as a legitimate learning opportunity within the degree program.</w:t>
      </w:r>
      <w:r w:rsidR="00AB6A81" w:rsidRPr="00B622F0">
        <w:rPr>
          <w:rFonts w:cstheme="minorHAnsi"/>
        </w:rPr>
        <w:t xml:space="preserve"> </w:t>
      </w:r>
      <w:r w:rsidR="00FB7FCA" w:rsidRPr="00B622F0">
        <w:rPr>
          <w:rFonts w:cstheme="minorHAnsi"/>
        </w:rPr>
        <w:t xml:space="preserve">Co-op students </w:t>
      </w:r>
      <w:proofErr w:type="gramStart"/>
      <w:r w:rsidR="00FB7FCA" w:rsidRPr="00B622F0">
        <w:rPr>
          <w:rFonts w:cstheme="minorHAnsi"/>
        </w:rPr>
        <w:t>are considered</w:t>
      </w:r>
      <w:proofErr w:type="gramEnd"/>
      <w:r w:rsidR="00FB7FCA" w:rsidRPr="00B622F0">
        <w:rPr>
          <w:rFonts w:cstheme="minorHAnsi"/>
        </w:rPr>
        <w:t xml:space="preserve"> full-time </w:t>
      </w:r>
      <w:r w:rsidR="00E56466">
        <w:rPr>
          <w:rFonts w:cstheme="minorHAnsi"/>
        </w:rPr>
        <w:t xml:space="preserve">at the University </w:t>
      </w:r>
      <w:r w:rsidR="00FB7FCA" w:rsidRPr="00B622F0">
        <w:rPr>
          <w:rFonts w:cstheme="minorHAnsi"/>
        </w:rPr>
        <w:t xml:space="preserve">through their work experience.  </w:t>
      </w:r>
      <w:r w:rsidR="00AB6A81" w:rsidRPr="00B622F0">
        <w:rPr>
          <w:rFonts w:cstheme="minorHAnsi"/>
        </w:rPr>
        <w:t xml:space="preserve">The Office of Scholarships and Financial Aid has determined that the current policy </w:t>
      </w:r>
      <w:r w:rsidRPr="00B622F0">
        <w:rPr>
          <w:rFonts w:cstheme="minorHAnsi"/>
        </w:rPr>
        <w:t xml:space="preserve">surrounding financial aid </w:t>
      </w:r>
      <w:r w:rsidR="00AB6A81" w:rsidRPr="00B622F0">
        <w:rPr>
          <w:rFonts w:cstheme="minorHAnsi"/>
        </w:rPr>
        <w:t xml:space="preserve">is too restrictive.  This determination </w:t>
      </w:r>
      <w:proofErr w:type="gramStart"/>
      <w:r w:rsidR="00AB6A81" w:rsidRPr="00B622F0">
        <w:rPr>
          <w:rFonts w:cstheme="minorHAnsi"/>
        </w:rPr>
        <w:t>is based</w:t>
      </w:r>
      <w:proofErr w:type="gramEnd"/>
      <w:r w:rsidR="00AB6A81" w:rsidRPr="00B622F0">
        <w:rPr>
          <w:rFonts w:cstheme="minorHAnsi"/>
        </w:rPr>
        <w:t xml:space="preserve"> on an analysis of how other </w:t>
      </w:r>
      <w:r w:rsidR="00B622F0" w:rsidRPr="00B622F0">
        <w:rPr>
          <w:rFonts w:cstheme="minorHAnsi"/>
        </w:rPr>
        <w:t>universitie</w:t>
      </w:r>
      <w:r w:rsidR="00AB6A81" w:rsidRPr="00B622F0">
        <w:rPr>
          <w:rFonts w:cstheme="minorHAnsi"/>
        </w:rPr>
        <w:t xml:space="preserve">s handle co-op </w:t>
      </w:r>
      <w:r w:rsidR="00E56466">
        <w:rPr>
          <w:rFonts w:cstheme="minorHAnsi"/>
        </w:rPr>
        <w:t>program</w:t>
      </w:r>
      <w:r w:rsidR="00AB6A81" w:rsidRPr="00B622F0">
        <w:rPr>
          <w:rFonts w:cstheme="minorHAnsi"/>
        </w:rPr>
        <w:t>s</w:t>
      </w:r>
      <w:r w:rsidR="00620D7B">
        <w:rPr>
          <w:rFonts w:cstheme="minorHAnsi"/>
        </w:rPr>
        <w:t>,</w:t>
      </w:r>
      <w:r w:rsidR="00AB6A81" w:rsidRPr="00B622F0">
        <w:rPr>
          <w:rFonts w:cstheme="minorHAnsi"/>
        </w:rPr>
        <w:t xml:space="preserve"> as well as clarification of Department of Education Title IV regulations.  The proposed change maintains a restriction on using co-op for the eligibility and disbursement of Title IV funds</w:t>
      </w:r>
      <w:r w:rsidR="00B622F0" w:rsidRPr="00B622F0">
        <w:rPr>
          <w:rFonts w:cstheme="minorHAnsi"/>
        </w:rPr>
        <w:t>;</w:t>
      </w:r>
      <w:r w:rsidR="00AB6A81" w:rsidRPr="00B622F0">
        <w:rPr>
          <w:rFonts w:cstheme="minorHAnsi"/>
        </w:rPr>
        <w:t xml:space="preserve"> however</w:t>
      </w:r>
      <w:r w:rsidR="00B622F0" w:rsidRPr="00B622F0">
        <w:rPr>
          <w:rFonts w:cstheme="minorHAnsi"/>
        </w:rPr>
        <w:t>,</w:t>
      </w:r>
      <w:r w:rsidR="00AB6A81" w:rsidRPr="00B622F0">
        <w:rPr>
          <w:rFonts w:cstheme="minorHAnsi"/>
        </w:rPr>
        <w:t xml:space="preserve"> it a</w:t>
      </w:r>
      <w:r w:rsidR="00B622F0" w:rsidRPr="00B622F0">
        <w:rPr>
          <w:rFonts w:cstheme="minorHAnsi"/>
        </w:rPr>
        <w:t>llows co-op</w:t>
      </w:r>
      <w:r w:rsidR="00AB6A81" w:rsidRPr="00B622F0">
        <w:rPr>
          <w:rFonts w:cstheme="minorHAnsi"/>
        </w:rPr>
        <w:t xml:space="preserve"> student</w:t>
      </w:r>
      <w:r w:rsidR="00B622F0" w:rsidRPr="00B622F0">
        <w:rPr>
          <w:rFonts w:cstheme="minorHAnsi"/>
        </w:rPr>
        <w:t>s</w:t>
      </w:r>
      <w:r w:rsidR="00AB6A81" w:rsidRPr="00B622F0">
        <w:rPr>
          <w:rFonts w:cstheme="minorHAnsi"/>
        </w:rPr>
        <w:t xml:space="preserve"> to </w:t>
      </w:r>
      <w:proofErr w:type="gramStart"/>
      <w:r w:rsidR="00AB6A81" w:rsidRPr="00B622F0">
        <w:rPr>
          <w:rFonts w:cstheme="minorHAnsi"/>
        </w:rPr>
        <w:t>be considered</w:t>
      </w:r>
      <w:proofErr w:type="gramEnd"/>
      <w:r w:rsidR="00AB6A81" w:rsidRPr="00B622F0">
        <w:rPr>
          <w:rFonts w:cstheme="minorHAnsi"/>
        </w:rPr>
        <w:t xml:space="preserve"> full-time for enrollment verifications and loan deferments. </w:t>
      </w:r>
    </w:p>
    <w:p w:rsidR="0090353A" w:rsidRPr="00B622F0" w:rsidRDefault="0090353A">
      <w:pPr>
        <w:rPr>
          <w:rFonts w:cstheme="minorHAnsi"/>
          <w:b/>
        </w:rPr>
      </w:pPr>
      <w:r w:rsidRPr="00B622F0">
        <w:rPr>
          <w:rFonts w:cstheme="minorHAnsi"/>
          <w:b/>
        </w:rPr>
        <w:t xml:space="preserve">Effective Term:  </w:t>
      </w:r>
      <w:r w:rsidRPr="00B622F0">
        <w:rPr>
          <w:rFonts w:cstheme="minorHAnsi"/>
        </w:rPr>
        <w:t>Fall 2018 for all undergraduates</w:t>
      </w:r>
    </w:p>
    <w:sectPr w:rsidR="0090353A" w:rsidRPr="00B622F0" w:rsidSect="00E56466">
      <w:pgSz w:w="12240" w:h="15840"/>
      <w:pgMar w:top="1152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10"/>
    <w:rsid w:val="00071909"/>
    <w:rsid w:val="000F38A6"/>
    <w:rsid w:val="002905EE"/>
    <w:rsid w:val="002E4D3C"/>
    <w:rsid w:val="004A3688"/>
    <w:rsid w:val="004F4610"/>
    <w:rsid w:val="00620D7B"/>
    <w:rsid w:val="006266CA"/>
    <w:rsid w:val="00831143"/>
    <w:rsid w:val="008655C9"/>
    <w:rsid w:val="0090353A"/>
    <w:rsid w:val="00976964"/>
    <w:rsid w:val="00A65A80"/>
    <w:rsid w:val="00AB6A81"/>
    <w:rsid w:val="00B0506E"/>
    <w:rsid w:val="00B622F0"/>
    <w:rsid w:val="00E56466"/>
    <w:rsid w:val="00F16531"/>
    <w:rsid w:val="00FB3097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9927"/>
  <w15:chartTrackingRefBased/>
  <w15:docId w15:val="{22E6A9F3-2388-4980-97F4-C161500A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4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F461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4F4610"/>
  </w:style>
  <w:style w:type="character" w:styleId="Strong">
    <w:name w:val="Strong"/>
    <w:basedOn w:val="DefaultParagraphFont"/>
    <w:uiPriority w:val="22"/>
    <w:qFormat/>
    <w:rsid w:val="004F461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564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e.arizona.edu/experien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ncialaid.arizona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talog.arizona.edu/policy/undergraduate-leaves-absen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reer.arizona.edu/node/5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atalog.arizona.edu/policy/undergraduate-cooperative-education-program" TargetMode="External"/><Relationship Id="rId9" Type="http://schemas.openxmlformats.org/officeDocument/2006/relationships/hyperlink" Target="http://advising.arizona.edu/content/academic-advisor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Salcedo, Rebekah Hoppel - (rsalcedo)</dc:creator>
  <cp:keywords/>
  <dc:description/>
  <cp:lastModifiedBy>Pardee, Celeste F.</cp:lastModifiedBy>
  <cp:revision>2</cp:revision>
  <cp:lastPrinted>2018-05-04T23:55:00Z</cp:lastPrinted>
  <dcterms:created xsi:type="dcterms:W3CDTF">2018-05-07T23:54:00Z</dcterms:created>
  <dcterms:modified xsi:type="dcterms:W3CDTF">2018-05-07T23:54:00Z</dcterms:modified>
</cp:coreProperties>
</file>