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73" w:rsidRPr="007563C7" w:rsidRDefault="007563C7" w:rsidP="007563C7">
      <w:pPr>
        <w:ind w:firstLine="360"/>
        <w:jc w:val="center"/>
        <w:rPr>
          <w:rFonts w:ascii="Arial" w:eastAsia="Calibri" w:hAnsi="Arial" w:cs="Arial"/>
          <w:b/>
        </w:rPr>
      </w:pPr>
      <w:r w:rsidRPr="007563C7">
        <w:rPr>
          <w:rFonts w:ascii="Arial" w:eastAsia="Calibri" w:hAnsi="Arial" w:cs="Arial"/>
          <w:b/>
        </w:rPr>
        <w:t>C</w:t>
      </w:r>
      <w:r w:rsidR="00992C73" w:rsidRPr="007563C7">
        <w:rPr>
          <w:rFonts w:ascii="Arial" w:eastAsia="Calibri" w:hAnsi="Arial" w:cs="Arial"/>
          <w:b/>
        </w:rPr>
        <w:t>reat</w:t>
      </w:r>
      <w:r w:rsidRPr="007563C7">
        <w:rPr>
          <w:rFonts w:ascii="Arial" w:eastAsia="Calibri" w:hAnsi="Arial" w:cs="Arial"/>
          <w:b/>
        </w:rPr>
        <w:t>ion of</w:t>
      </w:r>
      <w:r w:rsidR="00992C73" w:rsidRPr="007563C7">
        <w:rPr>
          <w:rFonts w:ascii="Arial" w:eastAsia="Calibri" w:hAnsi="Arial" w:cs="Arial"/>
          <w:b/>
        </w:rPr>
        <w:t xml:space="preserve"> Student Engagement Policies and Guidelines</w:t>
      </w:r>
    </w:p>
    <w:p w:rsidR="007563C7" w:rsidRDefault="007563C7" w:rsidP="007563C7">
      <w:pPr>
        <w:ind w:firstLine="360"/>
        <w:jc w:val="center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Approved by the Faculty Senate, 5/11/15</w:t>
      </w:r>
    </w:p>
    <w:p w:rsidR="007563C7" w:rsidRPr="007563C7" w:rsidRDefault="007563C7" w:rsidP="007563C7">
      <w:pPr>
        <w:ind w:firstLine="360"/>
        <w:jc w:val="center"/>
        <w:rPr>
          <w:rFonts w:ascii="Arial" w:eastAsia="Calibri" w:hAnsi="Arial" w:cs="Arial"/>
          <w:i/>
        </w:rPr>
      </w:pPr>
    </w:p>
    <w:p w:rsidR="00992C73" w:rsidRPr="009F1BFC" w:rsidRDefault="00992C73" w:rsidP="00992C73">
      <w:pPr>
        <w:rPr>
          <w:rFonts w:ascii="Arial" w:eastAsia="Calibri" w:hAnsi="Arial" w:cs="Arial"/>
          <w:b/>
        </w:rPr>
      </w:pPr>
    </w:p>
    <w:p w:rsidR="00992C73" w:rsidRPr="00992C73" w:rsidRDefault="007563C7" w:rsidP="00992C73">
      <w:pPr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b/>
        </w:rPr>
        <w:t>Approv</w:t>
      </w:r>
      <w:r w:rsidR="00992C73">
        <w:rPr>
          <w:rFonts w:ascii="Arial" w:eastAsia="Calibri" w:hAnsi="Arial" w:cs="Arial"/>
          <w:b/>
        </w:rPr>
        <w:t xml:space="preserve">ed Student Engagement Policies &amp; Guidelines </w:t>
      </w:r>
      <w:r w:rsidR="00992C73">
        <w:rPr>
          <w:rFonts w:ascii="Arial" w:eastAsia="Calibri" w:hAnsi="Arial" w:cs="Arial"/>
        </w:rPr>
        <w:t>(new page</w:t>
      </w:r>
      <w:r>
        <w:rPr>
          <w:rFonts w:ascii="Arial" w:eastAsia="Calibri" w:hAnsi="Arial" w:cs="Arial"/>
        </w:rPr>
        <w:t>s</w:t>
      </w:r>
      <w:r w:rsidR="00992C73">
        <w:rPr>
          <w:rFonts w:ascii="Arial" w:eastAsia="Calibri" w:hAnsi="Arial" w:cs="Arial"/>
        </w:rPr>
        <w:t xml:space="preserve"> in the 2015-16 Catalog)</w:t>
      </w:r>
      <w:r w:rsidR="00D77AD6">
        <w:rPr>
          <w:rFonts w:ascii="Arial" w:eastAsia="Calibri" w:hAnsi="Arial" w:cs="Arial"/>
        </w:rPr>
        <w:t>:</w:t>
      </w:r>
    </w:p>
    <w:p w:rsidR="00992C73" w:rsidRDefault="00992C73" w:rsidP="00992C73">
      <w:pPr>
        <w:rPr>
          <w:rFonts w:ascii="Arial" w:eastAsia="Calibri" w:hAnsi="Arial" w:cs="Arial"/>
          <w:b/>
        </w:rPr>
      </w:pPr>
    </w:p>
    <w:p w:rsidR="00992C73" w:rsidRPr="00992C73" w:rsidRDefault="00507353" w:rsidP="00992C73">
      <w:pPr>
        <w:ind w:left="720" w:hanging="360"/>
        <w:rPr>
          <w:rFonts w:ascii="Arial" w:eastAsia="Times New Roman" w:hAnsi="Arial" w:cs="Arial"/>
          <w:b/>
          <w:i/>
          <w:u w:val="single"/>
        </w:rPr>
      </w:pPr>
      <w:r>
        <w:rPr>
          <w:rFonts w:ascii="Arial" w:eastAsia="Times New Roman" w:hAnsi="Arial" w:cs="Arial"/>
          <w:b/>
          <w:i/>
          <w:u w:val="single"/>
        </w:rPr>
        <w:t xml:space="preserve">Undergraduate </w:t>
      </w:r>
      <w:r w:rsidR="00B25872">
        <w:rPr>
          <w:rFonts w:ascii="Arial" w:eastAsia="Times New Roman" w:hAnsi="Arial" w:cs="Arial"/>
          <w:b/>
          <w:i/>
          <w:u w:val="single"/>
        </w:rPr>
        <w:t>Engagement</w:t>
      </w:r>
      <w:r>
        <w:rPr>
          <w:rFonts w:ascii="Arial" w:eastAsia="Times New Roman" w:hAnsi="Arial" w:cs="Arial"/>
          <w:b/>
          <w:i/>
          <w:u w:val="single"/>
        </w:rPr>
        <w:t xml:space="preserve"> Experiences</w:t>
      </w:r>
    </w:p>
    <w:p w:rsidR="00992C73" w:rsidRPr="00992C73" w:rsidRDefault="00992C73" w:rsidP="00992C73">
      <w:pPr>
        <w:ind w:left="720" w:hanging="360"/>
        <w:rPr>
          <w:rFonts w:ascii="Arial" w:eastAsia="Times New Roman" w:hAnsi="Arial" w:cs="Arial"/>
          <w:b/>
          <w:i/>
          <w:u w:val="single"/>
        </w:rPr>
      </w:pPr>
    </w:p>
    <w:p w:rsidR="00992C73" w:rsidRPr="00992C73" w:rsidRDefault="00992C73" w:rsidP="00992C73">
      <w:pPr>
        <w:ind w:left="360"/>
        <w:rPr>
          <w:rFonts w:ascii="Arial" w:eastAsia="Times New Roman" w:hAnsi="Arial" w:cs="Arial"/>
          <w:i/>
        </w:rPr>
      </w:pPr>
      <w:r w:rsidRPr="00992C73">
        <w:rPr>
          <w:rFonts w:ascii="Arial" w:eastAsia="Times New Roman" w:hAnsi="Arial" w:cs="Arial"/>
          <w:i/>
        </w:rPr>
        <w:t xml:space="preserve">Engagement occurs when </w:t>
      </w:r>
      <w:r w:rsidRPr="00992C73">
        <w:rPr>
          <w:rFonts w:ascii="Arial" w:eastAsia="Times New Roman" w:hAnsi="Arial" w:cs="Arial"/>
          <w:i/>
          <w:iCs/>
        </w:rPr>
        <w:t>students</w:t>
      </w:r>
      <w:r w:rsidRPr="00992C73">
        <w:rPr>
          <w:rFonts w:ascii="Arial" w:eastAsia="Times New Roman" w:hAnsi="Arial" w:cs="Arial"/>
          <w:i/>
        </w:rPr>
        <w:t xml:space="preserve"> translate and apply their </w:t>
      </w:r>
      <w:r w:rsidR="00992A07">
        <w:rPr>
          <w:rFonts w:ascii="Arial" w:eastAsia="Times New Roman" w:hAnsi="Arial" w:cs="Arial"/>
          <w:i/>
        </w:rPr>
        <w:t xml:space="preserve">classroom </w:t>
      </w:r>
      <w:r w:rsidRPr="00992C73">
        <w:rPr>
          <w:rFonts w:ascii="Arial" w:eastAsia="Times New Roman" w:hAnsi="Arial" w:cs="Arial"/>
          <w:i/>
        </w:rPr>
        <w:t xml:space="preserve">learning into practices and experiences </w:t>
      </w:r>
      <w:r w:rsidR="00992A07">
        <w:rPr>
          <w:rFonts w:ascii="Arial" w:eastAsia="Times New Roman" w:hAnsi="Arial" w:cs="Arial"/>
          <w:i/>
        </w:rPr>
        <w:t xml:space="preserve">beyond the classroom </w:t>
      </w:r>
      <w:r w:rsidRPr="00992C73">
        <w:rPr>
          <w:rFonts w:ascii="Arial" w:eastAsia="Times New Roman" w:hAnsi="Arial" w:cs="Arial"/>
          <w:i/>
        </w:rPr>
        <w:t>that impact their professional and personal lives. Student Engagement</w:t>
      </w:r>
      <w:r w:rsidRPr="00D77AD6">
        <w:rPr>
          <w:rFonts w:ascii="Arial" w:eastAsia="Times New Roman" w:hAnsi="Arial" w:cs="Arial"/>
          <w:i/>
        </w:rPr>
        <w:t xml:space="preserve"> </w:t>
      </w:r>
      <w:r w:rsidR="00370E81" w:rsidRPr="00D77AD6">
        <w:rPr>
          <w:rFonts w:ascii="Arial" w:eastAsia="Times New Roman" w:hAnsi="Arial" w:cs="Arial"/>
          <w:i/>
        </w:rPr>
        <w:t xml:space="preserve">occurs </w:t>
      </w:r>
      <w:r w:rsidRPr="00992C73">
        <w:rPr>
          <w:rFonts w:ascii="Arial" w:eastAsia="Times New Roman" w:hAnsi="Arial" w:cs="Arial"/>
          <w:i/>
        </w:rPr>
        <w:t>in</w:t>
      </w:r>
      <w:r w:rsidR="00370E81" w:rsidRPr="00D77AD6">
        <w:rPr>
          <w:rFonts w:ascii="Arial" w:eastAsia="Times New Roman" w:hAnsi="Arial" w:cs="Arial"/>
          <w:i/>
        </w:rPr>
        <w:t xml:space="preserve"> the following learning experiences</w:t>
      </w:r>
      <w:r w:rsidRPr="00992C73">
        <w:rPr>
          <w:rFonts w:ascii="Arial" w:eastAsia="Times New Roman" w:hAnsi="Arial" w:cs="Arial"/>
          <w:i/>
        </w:rPr>
        <w:t>:</w:t>
      </w:r>
    </w:p>
    <w:p w:rsidR="00992C73" w:rsidRPr="00992C73" w:rsidRDefault="00370E81" w:rsidP="004815A3">
      <w:pPr>
        <w:numPr>
          <w:ilvl w:val="0"/>
          <w:numId w:val="3"/>
        </w:numPr>
        <w:ind w:left="1080"/>
        <w:contextualSpacing/>
        <w:rPr>
          <w:rFonts w:ascii="Arial" w:eastAsia="MS Mincho" w:hAnsi="Arial" w:cs="Arial"/>
          <w:i/>
        </w:rPr>
      </w:pPr>
      <w:r w:rsidRPr="00D77AD6">
        <w:rPr>
          <w:rFonts w:ascii="Arial" w:eastAsia="MS Mincho" w:hAnsi="Arial" w:cs="Arial"/>
          <w:i/>
        </w:rPr>
        <w:t xml:space="preserve">Students’ </w:t>
      </w:r>
      <w:r w:rsidR="00992C73" w:rsidRPr="00992C73">
        <w:rPr>
          <w:rFonts w:ascii="Arial" w:eastAsia="MS Mincho" w:hAnsi="Arial" w:cs="Arial"/>
          <w:i/>
        </w:rPr>
        <w:t>original and collaborative advanced lab</w:t>
      </w:r>
      <w:r w:rsidRPr="00D77AD6">
        <w:rPr>
          <w:rFonts w:ascii="Arial" w:eastAsia="MS Mincho" w:hAnsi="Arial" w:cs="Arial"/>
          <w:i/>
        </w:rPr>
        <w:t>oratory</w:t>
      </w:r>
      <w:r w:rsidR="00992C73" w:rsidRPr="00992C73">
        <w:rPr>
          <w:rFonts w:ascii="Arial" w:eastAsia="MS Mincho" w:hAnsi="Arial" w:cs="Arial"/>
          <w:i/>
        </w:rPr>
        <w:t xml:space="preserve"> and</w:t>
      </w:r>
      <w:r w:rsidRPr="00D77AD6">
        <w:rPr>
          <w:rFonts w:ascii="Arial" w:eastAsia="MS Mincho" w:hAnsi="Arial" w:cs="Arial"/>
          <w:i/>
        </w:rPr>
        <w:t xml:space="preserve"> field research</w:t>
      </w:r>
      <w:r w:rsidR="00992C73" w:rsidRPr="00992C73">
        <w:rPr>
          <w:rFonts w:ascii="Arial" w:eastAsia="MS Mincho" w:hAnsi="Arial" w:cs="Arial"/>
          <w:i/>
        </w:rPr>
        <w:t>;</w:t>
      </w:r>
    </w:p>
    <w:p w:rsidR="00992C73" w:rsidRPr="00992C73" w:rsidRDefault="00370E81" w:rsidP="004815A3">
      <w:pPr>
        <w:numPr>
          <w:ilvl w:val="0"/>
          <w:numId w:val="3"/>
        </w:numPr>
        <w:ind w:left="1080"/>
        <w:contextualSpacing/>
        <w:rPr>
          <w:rFonts w:ascii="Arial" w:eastAsia="MS Mincho" w:hAnsi="Arial" w:cs="Arial"/>
          <w:i/>
        </w:rPr>
      </w:pPr>
      <w:r w:rsidRPr="00D77AD6">
        <w:rPr>
          <w:rFonts w:ascii="Arial" w:eastAsia="MS Mincho" w:hAnsi="Arial" w:cs="Arial"/>
          <w:i/>
        </w:rPr>
        <w:t>Students’ creative</w:t>
      </w:r>
      <w:r w:rsidR="00992C73" w:rsidRPr="00992C73">
        <w:rPr>
          <w:rFonts w:ascii="Arial" w:eastAsia="MS Mincho" w:hAnsi="Arial" w:cs="Arial"/>
          <w:i/>
        </w:rPr>
        <w:t xml:space="preserve"> performances, </w:t>
      </w:r>
      <w:r w:rsidRPr="00D77AD6">
        <w:rPr>
          <w:rFonts w:ascii="Arial" w:eastAsia="MS Mincho" w:hAnsi="Arial" w:cs="Arial"/>
          <w:i/>
        </w:rPr>
        <w:t xml:space="preserve">artistic </w:t>
      </w:r>
      <w:r w:rsidR="00992A07">
        <w:rPr>
          <w:rFonts w:ascii="Arial" w:eastAsia="MS Mincho" w:hAnsi="Arial" w:cs="Arial"/>
          <w:i/>
        </w:rPr>
        <w:t>endeavor</w:t>
      </w:r>
      <w:r w:rsidRPr="00D77AD6">
        <w:rPr>
          <w:rFonts w:ascii="Arial" w:eastAsia="MS Mincho" w:hAnsi="Arial" w:cs="Arial"/>
          <w:i/>
        </w:rPr>
        <w:t>s, and productions</w:t>
      </w:r>
      <w:r w:rsidR="00992C73" w:rsidRPr="00992C73">
        <w:rPr>
          <w:rFonts w:ascii="Arial" w:eastAsia="MS Mincho" w:hAnsi="Arial" w:cs="Arial"/>
          <w:i/>
        </w:rPr>
        <w:t xml:space="preserve">; </w:t>
      </w:r>
    </w:p>
    <w:p w:rsidR="00992C73" w:rsidRPr="00992C73" w:rsidRDefault="00370E81" w:rsidP="004815A3">
      <w:pPr>
        <w:numPr>
          <w:ilvl w:val="0"/>
          <w:numId w:val="3"/>
        </w:numPr>
        <w:ind w:left="1080"/>
        <w:contextualSpacing/>
        <w:rPr>
          <w:rFonts w:ascii="Arial" w:eastAsia="MS Mincho" w:hAnsi="Arial" w:cs="Arial"/>
          <w:i/>
        </w:rPr>
      </w:pPr>
      <w:r w:rsidRPr="00D77AD6">
        <w:rPr>
          <w:rFonts w:ascii="Arial" w:eastAsia="MS Mincho" w:hAnsi="Arial" w:cs="Arial"/>
          <w:i/>
        </w:rPr>
        <w:t>I</w:t>
      </w:r>
      <w:r w:rsidR="00992C73" w:rsidRPr="00992C73">
        <w:rPr>
          <w:rFonts w:ascii="Arial" w:eastAsia="MS Mincho" w:hAnsi="Arial" w:cs="Arial"/>
          <w:i/>
        </w:rPr>
        <w:t>nternshi</w:t>
      </w:r>
      <w:r w:rsidRPr="00D77AD6">
        <w:rPr>
          <w:rFonts w:ascii="Arial" w:eastAsia="MS Mincho" w:hAnsi="Arial" w:cs="Arial"/>
          <w:i/>
        </w:rPr>
        <w:t>ps and externships</w:t>
      </w:r>
      <w:r w:rsidR="00992C73" w:rsidRPr="00992C73">
        <w:rPr>
          <w:rFonts w:ascii="Arial" w:eastAsia="MS Mincho" w:hAnsi="Arial" w:cs="Arial"/>
          <w:i/>
        </w:rPr>
        <w:t>;</w:t>
      </w:r>
    </w:p>
    <w:p w:rsidR="00992C73" w:rsidRPr="00992C73" w:rsidRDefault="00370E81" w:rsidP="004815A3">
      <w:pPr>
        <w:numPr>
          <w:ilvl w:val="0"/>
          <w:numId w:val="3"/>
        </w:numPr>
        <w:ind w:left="1080"/>
        <w:contextualSpacing/>
        <w:rPr>
          <w:rFonts w:ascii="Arial" w:eastAsia="MS Mincho" w:hAnsi="Arial" w:cs="Arial"/>
          <w:i/>
        </w:rPr>
      </w:pPr>
      <w:r w:rsidRPr="00D77AD6">
        <w:rPr>
          <w:rFonts w:ascii="Arial" w:eastAsia="MS Mincho" w:hAnsi="Arial" w:cs="Arial"/>
          <w:i/>
        </w:rPr>
        <w:t>P</w:t>
      </w:r>
      <w:r w:rsidR="00992C73" w:rsidRPr="00992C73">
        <w:rPr>
          <w:rFonts w:ascii="Arial" w:eastAsia="MS Mincho" w:hAnsi="Arial" w:cs="Arial"/>
          <w:i/>
        </w:rPr>
        <w:t>racti</w:t>
      </w:r>
      <w:r w:rsidRPr="00D77AD6">
        <w:rPr>
          <w:rFonts w:ascii="Arial" w:eastAsia="MS Mincho" w:hAnsi="Arial" w:cs="Arial"/>
          <w:i/>
        </w:rPr>
        <w:t>cums and preceptorships</w:t>
      </w:r>
      <w:r w:rsidR="00992C73" w:rsidRPr="00992C73">
        <w:rPr>
          <w:rFonts w:ascii="Arial" w:eastAsia="MS Mincho" w:hAnsi="Arial" w:cs="Arial"/>
          <w:i/>
        </w:rPr>
        <w:t>;</w:t>
      </w:r>
    </w:p>
    <w:p w:rsidR="00992C73" w:rsidRPr="00992C73" w:rsidRDefault="00370E81" w:rsidP="004815A3">
      <w:pPr>
        <w:numPr>
          <w:ilvl w:val="0"/>
          <w:numId w:val="3"/>
        </w:numPr>
        <w:ind w:left="1080"/>
        <w:contextualSpacing/>
        <w:rPr>
          <w:rFonts w:ascii="Arial" w:eastAsia="MS Mincho" w:hAnsi="Arial" w:cs="Arial"/>
          <w:i/>
        </w:rPr>
      </w:pPr>
      <w:r w:rsidRPr="00D77AD6">
        <w:rPr>
          <w:rFonts w:ascii="Arial" w:eastAsia="MS Mincho" w:hAnsi="Arial" w:cs="Arial"/>
          <w:i/>
        </w:rPr>
        <w:t>S</w:t>
      </w:r>
      <w:r w:rsidR="00992C73" w:rsidRPr="00992C73">
        <w:rPr>
          <w:rFonts w:ascii="Arial" w:eastAsia="MS Mincho" w:hAnsi="Arial" w:cs="Arial"/>
          <w:i/>
        </w:rPr>
        <w:t xml:space="preserve">tudy abroad experiences; </w:t>
      </w:r>
    </w:p>
    <w:p w:rsidR="00992C73" w:rsidRPr="00992C73" w:rsidRDefault="00370E81" w:rsidP="004815A3">
      <w:pPr>
        <w:numPr>
          <w:ilvl w:val="0"/>
          <w:numId w:val="3"/>
        </w:numPr>
        <w:ind w:left="1080"/>
        <w:contextualSpacing/>
        <w:rPr>
          <w:rFonts w:ascii="Arial" w:eastAsia="MS Mincho" w:hAnsi="Arial" w:cs="Arial"/>
          <w:i/>
        </w:rPr>
      </w:pPr>
      <w:r w:rsidRPr="00D77AD6">
        <w:rPr>
          <w:rFonts w:ascii="Arial" w:eastAsia="MS Mincho" w:hAnsi="Arial" w:cs="Arial"/>
          <w:i/>
        </w:rPr>
        <w:t>S</w:t>
      </w:r>
      <w:r w:rsidR="00992C73" w:rsidRPr="00992C73">
        <w:rPr>
          <w:rFonts w:ascii="Arial" w:eastAsia="MS Mincho" w:hAnsi="Arial" w:cs="Arial"/>
          <w:i/>
        </w:rPr>
        <w:t>ervice learning projects</w:t>
      </w:r>
      <w:r w:rsidRPr="00D77AD6">
        <w:rPr>
          <w:rFonts w:ascii="Arial" w:eastAsia="MS Mincho" w:hAnsi="Arial" w:cs="Arial"/>
          <w:i/>
        </w:rPr>
        <w:t>—</w:t>
      </w:r>
      <w:r w:rsidR="00992C73" w:rsidRPr="00992C73">
        <w:rPr>
          <w:rFonts w:ascii="Arial" w:eastAsia="MS Mincho" w:hAnsi="Arial" w:cs="Arial"/>
          <w:i/>
        </w:rPr>
        <w:t xml:space="preserve">community-based activities to address </w:t>
      </w:r>
      <w:r w:rsidR="002E7F7B">
        <w:rPr>
          <w:rFonts w:ascii="Arial" w:eastAsia="MS Mincho" w:hAnsi="Arial" w:cs="Arial"/>
          <w:i/>
        </w:rPr>
        <w:t xml:space="preserve">critical </w:t>
      </w:r>
      <w:r w:rsidR="00992C73" w:rsidRPr="00992C73">
        <w:rPr>
          <w:rFonts w:ascii="Arial" w:eastAsia="MS Mincho" w:hAnsi="Arial" w:cs="Arial"/>
          <w:i/>
        </w:rPr>
        <w:t>needs; and,</w:t>
      </w:r>
    </w:p>
    <w:p w:rsidR="00992C73" w:rsidRPr="00992C73" w:rsidRDefault="00370E81" w:rsidP="004815A3">
      <w:pPr>
        <w:numPr>
          <w:ilvl w:val="0"/>
          <w:numId w:val="3"/>
        </w:numPr>
        <w:ind w:left="1080"/>
        <w:contextualSpacing/>
        <w:rPr>
          <w:rFonts w:ascii="Arial" w:eastAsia="MS Mincho" w:hAnsi="Arial" w:cs="Arial"/>
          <w:i/>
        </w:rPr>
      </w:pPr>
      <w:r w:rsidRPr="00D77AD6">
        <w:rPr>
          <w:rFonts w:ascii="Arial" w:eastAsia="MS Mincho" w:hAnsi="Arial" w:cs="Arial"/>
          <w:i/>
        </w:rPr>
        <w:t>A</w:t>
      </w:r>
      <w:r w:rsidR="00992C73" w:rsidRPr="00992C73">
        <w:rPr>
          <w:rFonts w:ascii="Arial" w:eastAsia="MS Mincho" w:hAnsi="Arial" w:cs="Arial"/>
          <w:i/>
        </w:rPr>
        <w:t xml:space="preserve"> wide range of student-centered co-curricular activities that build on </w:t>
      </w:r>
      <w:r w:rsidR="004815A3" w:rsidRPr="00D77AD6">
        <w:rPr>
          <w:rFonts w:ascii="Arial" w:eastAsia="MS Mincho" w:hAnsi="Arial" w:cs="Arial"/>
          <w:i/>
        </w:rPr>
        <w:t>classroom learning</w:t>
      </w:r>
      <w:r w:rsidR="00992C73" w:rsidRPr="00992C73">
        <w:rPr>
          <w:rFonts w:ascii="Arial" w:eastAsia="MS Mincho" w:hAnsi="Arial" w:cs="Arial"/>
          <w:i/>
        </w:rPr>
        <w:t>.</w:t>
      </w:r>
    </w:p>
    <w:p w:rsidR="007563C7" w:rsidRDefault="007563C7" w:rsidP="00992C73">
      <w:pPr>
        <w:ind w:left="720" w:hanging="360"/>
        <w:rPr>
          <w:rFonts w:ascii="Arial" w:eastAsia="Times New Roman" w:hAnsi="Arial" w:cs="Arial"/>
          <w:i/>
        </w:rPr>
      </w:pPr>
    </w:p>
    <w:p w:rsidR="00992C73" w:rsidRDefault="007563C7" w:rsidP="00507353">
      <w:pPr>
        <w:ind w:left="360"/>
        <w:rPr>
          <w:rFonts w:ascii="Arial" w:eastAsia="Times New Roman" w:hAnsi="Arial" w:cs="Arial"/>
          <w:i/>
        </w:rPr>
      </w:pPr>
      <w:r w:rsidRPr="00992C73">
        <w:rPr>
          <w:rFonts w:ascii="Arial" w:eastAsia="Times New Roman" w:hAnsi="Arial" w:cs="Arial"/>
          <w:i/>
        </w:rPr>
        <w:t xml:space="preserve">Students may complete more than one engagement experience by registering for a course or non-credit experience that has a different activity and competency.  There is no </w:t>
      </w:r>
      <w:r w:rsidRPr="00D77AD6">
        <w:rPr>
          <w:rFonts w:ascii="Arial" w:eastAsia="Times New Roman" w:hAnsi="Arial" w:cs="Arial"/>
          <w:i/>
        </w:rPr>
        <w:t>limit</w:t>
      </w:r>
      <w:r w:rsidRPr="00992C73">
        <w:rPr>
          <w:rFonts w:ascii="Arial" w:eastAsia="Times New Roman" w:hAnsi="Arial" w:cs="Arial"/>
          <w:i/>
        </w:rPr>
        <w:t xml:space="preserve"> on the number of student engagement </w:t>
      </w:r>
      <w:r w:rsidRPr="00D77AD6">
        <w:rPr>
          <w:rFonts w:ascii="Arial" w:eastAsia="Times New Roman" w:hAnsi="Arial" w:cs="Arial"/>
          <w:i/>
        </w:rPr>
        <w:t>cours</w:t>
      </w:r>
      <w:r w:rsidRPr="00992C73">
        <w:rPr>
          <w:rFonts w:ascii="Arial" w:eastAsia="Times New Roman" w:hAnsi="Arial" w:cs="Arial"/>
          <w:i/>
        </w:rPr>
        <w:t xml:space="preserve">es </w:t>
      </w:r>
      <w:r w:rsidRPr="00D77AD6">
        <w:rPr>
          <w:rFonts w:ascii="Arial" w:eastAsia="Times New Roman" w:hAnsi="Arial" w:cs="Arial"/>
          <w:i/>
        </w:rPr>
        <w:t>or non-credit experiences that</w:t>
      </w:r>
      <w:r w:rsidRPr="00992C73">
        <w:rPr>
          <w:rFonts w:ascii="Arial" w:eastAsia="Times New Roman" w:hAnsi="Arial" w:cs="Arial"/>
          <w:i/>
        </w:rPr>
        <w:t xml:space="preserve"> a student may </w:t>
      </w:r>
      <w:r w:rsidRPr="00D77AD6">
        <w:rPr>
          <w:rFonts w:ascii="Arial" w:eastAsia="Times New Roman" w:hAnsi="Arial" w:cs="Arial"/>
          <w:i/>
        </w:rPr>
        <w:t>complete</w:t>
      </w:r>
      <w:r w:rsidRPr="00992C73">
        <w:rPr>
          <w:rFonts w:ascii="Arial" w:eastAsia="Times New Roman" w:hAnsi="Arial" w:cs="Arial"/>
          <w:i/>
        </w:rPr>
        <w:t>.</w:t>
      </w:r>
    </w:p>
    <w:p w:rsidR="007563C7" w:rsidRPr="00992C73" w:rsidRDefault="007563C7" w:rsidP="00992C73">
      <w:pPr>
        <w:ind w:left="720" w:hanging="360"/>
        <w:rPr>
          <w:rFonts w:ascii="Arial" w:eastAsia="Times New Roman" w:hAnsi="Arial" w:cs="Arial"/>
          <w:i/>
        </w:rPr>
      </w:pPr>
    </w:p>
    <w:p w:rsidR="00992C73" w:rsidRPr="00992C73" w:rsidRDefault="00992C73" w:rsidP="00992C73">
      <w:pPr>
        <w:ind w:left="720" w:hanging="360"/>
        <w:rPr>
          <w:rFonts w:ascii="Arial" w:eastAsia="Times New Roman" w:hAnsi="Arial" w:cs="Arial"/>
          <w:b/>
          <w:i/>
          <w:u w:val="single"/>
        </w:rPr>
      </w:pPr>
      <w:r w:rsidRPr="00992C73">
        <w:rPr>
          <w:rFonts w:ascii="Arial" w:eastAsia="Times New Roman" w:hAnsi="Arial" w:cs="Arial"/>
          <w:b/>
          <w:i/>
          <w:u w:val="single"/>
        </w:rPr>
        <w:t xml:space="preserve">Core Outcomes of an Engaged Learning Experience </w:t>
      </w:r>
    </w:p>
    <w:p w:rsidR="00992C73" w:rsidRPr="00992C73" w:rsidRDefault="00992C73" w:rsidP="00992C73">
      <w:pPr>
        <w:ind w:left="720" w:hanging="360"/>
        <w:rPr>
          <w:rFonts w:ascii="Arial" w:eastAsia="Times New Roman" w:hAnsi="Arial" w:cs="Arial"/>
          <w:i/>
        </w:rPr>
      </w:pPr>
    </w:p>
    <w:p w:rsidR="00992C73" w:rsidRPr="00992C73" w:rsidRDefault="00992C73" w:rsidP="004815A3">
      <w:pPr>
        <w:ind w:left="360"/>
        <w:rPr>
          <w:rFonts w:ascii="Arial" w:eastAsia="Times New Roman" w:hAnsi="Arial" w:cs="Arial"/>
          <w:i/>
        </w:rPr>
      </w:pPr>
      <w:r w:rsidRPr="00992C73">
        <w:rPr>
          <w:rFonts w:ascii="Arial" w:eastAsia="Times New Roman" w:hAnsi="Arial" w:cs="Arial"/>
          <w:i/>
        </w:rPr>
        <w:t xml:space="preserve">Student engagement courses or non-credit experiences are distinguished from other </w:t>
      </w:r>
      <w:r w:rsidR="004815A3" w:rsidRPr="00D77AD6">
        <w:rPr>
          <w:rFonts w:ascii="Arial" w:eastAsia="Times New Roman" w:hAnsi="Arial" w:cs="Arial"/>
          <w:i/>
        </w:rPr>
        <w:t xml:space="preserve">learning </w:t>
      </w:r>
      <w:r w:rsidRPr="00992C73">
        <w:rPr>
          <w:rFonts w:ascii="Arial" w:eastAsia="Times New Roman" w:hAnsi="Arial" w:cs="Arial"/>
          <w:i/>
        </w:rPr>
        <w:t xml:space="preserve">experiences by the fact that they focus on the following: </w:t>
      </w:r>
    </w:p>
    <w:p w:rsidR="00992C73" w:rsidRPr="00992C73" w:rsidRDefault="00992C73" w:rsidP="00992C73">
      <w:pPr>
        <w:ind w:left="720" w:hanging="360"/>
        <w:rPr>
          <w:rFonts w:ascii="Arial" w:eastAsia="Times New Roman" w:hAnsi="Arial" w:cs="Arial"/>
          <w:i/>
        </w:rPr>
      </w:pPr>
      <w:r w:rsidRPr="00992C73">
        <w:rPr>
          <w:rFonts w:ascii="Arial" w:eastAsia="Times New Roman" w:hAnsi="Arial" w:cs="Arial"/>
          <w:i/>
        </w:rPr>
        <w:t xml:space="preserve"> </w:t>
      </w:r>
    </w:p>
    <w:p w:rsidR="00992C73" w:rsidRPr="00992C73" w:rsidRDefault="00992C73" w:rsidP="00992C73">
      <w:pPr>
        <w:numPr>
          <w:ilvl w:val="0"/>
          <w:numId w:val="4"/>
        </w:numPr>
        <w:contextualSpacing/>
        <w:rPr>
          <w:rFonts w:ascii="Arial" w:eastAsia="MS Mincho" w:hAnsi="Arial" w:cs="Arial"/>
          <w:i/>
        </w:rPr>
      </w:pPr>
      <w:r w:rsidRPr="00992C73">
        <w:rPr>
          <w:rFonts w:ascii="Arial" w:eastAsia="Times New Roman" w:hAnsi="Arial" w:cs="Arial"/>
          <w:b/>
          <w:i/>
        </w:rPr>
        <w:t>Engagement Activities</w:t>
      </w:r>
      <w:r w:rsidR="00717426" w:rsidRPr="00D77AD6">
        <w:rPr>
          <w:rFonts w:ascii="Arial" w:eastAsia="Times New Roman" w:hAnsi="Arial" w:cs="Arial"/>
          <w:b/>
          <w:i/>
        </w:rPr>
        <w:t xml:space="preserve"> </w:t>
      </w:r>
      <w:r w:rsidR="00717426" w:rsidRPr="00D77AD6">
        <w:rPr>
          <w:rFonts w:ascii="Arial" w:eastAsia="Times New Roman" w:hAnsi="Arial" w:cs="Arial"/>
          <w:i/>
        </w:rPr>
        <w:t>[link]</w:t>
      </w:r>
    </w:p>
    <w:p w:rsidR="00992C73" w:rsidRPr="00992C73" w:rsidRDefault="00992C73" w:rsidP="004815A3">
      <w:pPr>
        <w:spacing w:before="100" w:beforeAutospacing="1" w:after="100" w:afterAutospacing="1"/>
        <w:ind w:left="720"/>
        <w:contextualSpacing/>
        <w:rPr>
          <w:rFonts w:ascii="Arial" w:eastAsia="MS Mincho" w:hAnsi="Arial" w:cs="Arial"/>
          <w:i/>
        </w:rPr>
      </w:pPr>
      <w:r w:rsidRPr="00992C73">
        <w:rPr>
          <w:rFonts w:ascii="Arial" w:eastAsia="MS Mincho" w:hAnsi="Arial" w:cs="Arial"/>
          <w:i/>
        </w:rPr>
        <w:t xml:space="preserve">Engagement Activities develop professional and personal skills.  Each engagement experience must focus on </w:t>
      </w:r>
      <w:r w:rsidR="004815A3" w:rsidRPr="00D77AD6">
        <w:rPr>
          <w:rFonts w:ascii="Arial" w:eastAsia="MS Mincho" w:hAnsi="Arial" w:cs="Arial"/>
          <w:i/>
        </w:rPr>
        <w:t>one of the following</w:t>
      </w:r>
      <w:r w:rsidRPr="00992C73">
        <w:rPr>
          <w:rFonts w:ascii="Arial" w:eastAsia="MS Mincho" w:hAnsi="Arial" w:cs="Arial"/>
          <w:i/>
        </w:rPr>
        <w:t>: community partnership</w:t>
      </w:r>
      <w:r w:rsidR="004815A3" w:rsidRPr="00D77AD6">
        <w:rPr>
          <w:rFonts w:ascii="Arial" w:eastAsia="MS Mincho" w:hAnsi="Arial" w:cs="Arial"/>
          <w:i/>
        </w:rPr>
        <w:t>, creative expression, discovery,</w:t>
      </w:r>
      <w:r w:rsidRPr="00992C73">
        <w:rPr>
          <w:rFonts w:ascii="Arial" w:eastAsia="MS Mincho" w:hAnsi="Arial" w:cs="Arial"/>
          <w:i/>
        </w:rPr>
        <w:t xml:space="preserve"> entrepreneursh</w:t>
      </w:r>
      <w:r w:rsidR="004815A3" w:rsidRPr="00D77AD6">
        <w:rPr>
          <w:rFonts w:ascii="Arial" w:eastAsia="MS Mincho" w:hAnsi="Arial" w:cs="Arial"/>
          <w:i/>
        </w:rPr>
        <w:t>ip,</w:t>
      </w:r>
      <w:r w:rsidRPr="00992C73">
        <w:rPr>
          <w:rFonts w:ascii="Arial" w:eastAsia="MS Mincho" w:hAnsi="Arial" w:cs="Arial"/>
          <w:i/>
        </w:rPr>
        <w:t xml:space="preserve"> </w:t>
      </w:r>
      <w:r w:rsidR="004815A3" w:rsidRPr="00D77AD6">
        <w:rPr>
          <w:rFonts w:ascii="Arial" w:eastAsia="MS Mincho" w:hAnsi="Arial" w:cs="Arial"/>
          <w:i/>
        </w:rPr>
        <w:t>intercultural exploration,</w:t>
      </w:r>
      <w:r w:rsidRPr="00992C73">
        <w:rPr>
          <w:rFonts w:ascii="Arial" w:eastAsia="MS Mincho" w:hAnsi="Arial" w:cs="Arial"/>
          <w:i/>
        </w:rPr>
        <w:t xml:space="preserve"> leadership and professional development.</w:t>
      </w:r>
      <w:r w:rsidRPr="00992C73">
        <w:rPr>
          <w:rFonts w:ascii="Arial" w:eastAsia="MS Mincho" w:hAnsi="Arial" w:cs="Arial"/>
          <w:i/>
        </w:rPr>
        <w:br/>
      </w:r>
    </w:p>
    <w:p w:rsidR="00992C73" w:rsidRPr="00992C73" w:rsidRDefault="00992C73" w:rsidP="00992C73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Arial" w:eastAsia="Times New Roman" w:hAnsi="Arial" w:cs="Arial"/>
          <w:b/>
          <w:i/>
        </w:rPr>
      </w:pPr>
      <w:r w:rsidRPr="00992C73">
        <w:rPr>
          <w:rFonts w:ascii="Arial" w:eastAsia="Times New Roman" w:hAnsi="Arial" w:cs="Arial"/>
          <w:b/>
          <w:i/>
        </w:rPr>
        <w:t>Engagement Competencies</w:t>
      </w:r>
      <w:r w:rsidR="00717426" w:rsidRPr="00D77AD6">
        <w:rPr>
          <w:rFonts w:ascii="Arial" w:eastAsia="Times New Roman" w:hAnsi="Arial" w:cs="Arial"/>
          <w:b/>
          <w:i/>
        </w:rPr>
        <w:t xml:space="preserve"> </w:t>
      </w:r>
      <w:r w:rsidR="00717426" w:rsidRPr="00D77AD6">
        <w:rPr>
          <w:rFonts w:ascii="Arial" w:eastAsia="Times New Roman" w:hAnsi="Arial" w:cs="Arial"/>
          <w:i/>
        </w:rPr>
        <w:t>[link]</w:t>
      </w:r>
      <w:r w:rsidR="00717426" w:rsidRPr="00D77AD6">
        <w:rPr>
          <w:rFonts w:ascii="Arial" w:eastAsia="Times New Roman" w:hAnsi="Arial" w:cs="Arial"/>
          <w:b/>
          <w:i/>
        </w:rPr>
        <w:t xml:space="preserve"> </w:t>
      </w:r>
    </w:p>
    <w:p w:rsidR="00992C73" w:rsidRPr="00992C73" w:rsidRDefault="00992C73" w:rsidP="004815A3">
      <w:pPr>
        <w:spacing w:before="100" w:beforeAutospacing="1" w:after="100" w:afterAutospacing="1"/>
        <w:ind w:left="720"/>
        <w:contextualSpacing/>
        <w:rPr>
          <w:rFonts w:ascii="Arial" w:eastAsia="MS Mincho" w:hAnsi="Arial" w:cs="Arial"/>
          <w:b/>
          <w:i/>
        </w:rPr>
      </w:pPr>
      <w:r w:rsidRPr="00992C73">
        <w:rPr>
          <w:rFonts w:ascii="Arial" w:eastAsia="MS Mincho" w:hAnsi="Arial" w:cs="Arial"/>
          <w:i/>
        </w:rPr>
        <w:t>Engagement Competencies are the lenses through which students focus their activity to develop an appreciation for and a</w:t>
      </w:r>
      <w:r w:rsidR="004815A3" w:rsidRPr="00D77AD6">
        <w:rPr>
          <w:rFonts w:ascii="Arial" w:eastAsia="MS Mincho" w:hAnsi="Arial" w:cs="Arial"/>
          <w:i/>
        </w:rPr>
        <w:t>n</w:t>
      </w:r>
      <w:r w:rsidRPr="00992C73">
        <w:rPr>
          <w:rFonts w:ascii="Arial" w:eastAsia="MS Mincho" w:hAnsi="Arial" w:cs="Arial"/>
          <w:i/>
        </w:rPr>
        <w:t xml:space="preserve"> understanding of that ar</w:t>
      </w:r>
      <w:r w:rsidR="004815A3" w:rsidRPr="00D77AD6">
        <w:rPr>
          <w:rFonts w:ascii="Arial" w:eastAsia="MS Mincho" w:hAnsi="Arial" w:cs="Arial"/>
          <w:i/>
        </w:rPr>
        <w:t>ea</w:t>
      </w:r>
      <w:r w:rsidRPr="00992C73">
        <w:rPr>
          <w:rFonts w:ascii="Arial" w:eastAsia="MS Mincho" w:hAnsi="Arial" w:cs="Arial"/>
          <w:i/>
        </w:rPr>
        <w:t xml:space="preserve">. </w:t>
      </w:r>
      <w:r w:rsidR="004815A3" w:rsidRPr="00D77AD6">
        <w:rPr>
          <w:rFonts w:ascii="Arial" w:eastAsia="MS Mincho" w:hAnsi="Arial" w:cs="Arial"/>
          <w:i/>
        </w:rPr>
        <w:t xml:space="preserve"> </w:t>
      </w:r>
      <w:r w:rsidRPr="00992C73">
        <w:rPr>
          <w:rFonts w:ascii="Arial" w:eastAsia="MS Mincho" w:hAnsi="Arial" w:cs="Arial"/>
          <w:i/>
        </w:rPr>
        <w:t>Each engagement experience must focus on one of the following:</w:t>
      </w:r>
      <w:r w:rsidRPr="00992C73">
        <w:rPr>
          <w:rFonts w:ascii="Arial" w:eastAsia="Times New Roman" w:hAnsi="Arial" w:cs="Arial"/>
          <w:i/>
        </w:rPr>
        <w:t xml:space="preserve"> </w:t>
      </w:r>
      <w:r w:rsidRPr="00992C73">
        <w:rPr>
          <w:rFonts w:ascii="Arial" w:eastAsia="MS Mincho" w:hAnsi="Arial" w:cs="Arial"/>
          <w:i/>
        </w:rPr>
        <w:t>civ</w:t>
      </w:r>
      <w:r w:rsidR="004815A3" w:rsidRPr="00D77AD6">
        <w:rPr>
          <w:rFonts w:ascii="Arial" w:eastAsia="MS Mincho" w:hAnsi="Arial" w:cs="Arial"/>
          <w:i/>
        </w:rPr>
        <w:t>ic and community responsibility, diversity and identity,</w:t>
      </w:r>
      <w:r w:rsidRPr="00992C73">
        <w:rPr>
          <w:rFonts w:ascii="Arial" w:eastAsia="MS Mincho" w:hAnsi="Arial" w:cs="Arial"/>
          <w:i/>
        </w:rPr>
        <w:t xml:space="preserve"> global </w:t>
      </w:r>
      <w:r w:rsidR="004815A3" w:rsidRPr="00D77AD6">
        <w:rPr>
          <w:rFonts w:ascii="Arial" w:eastAsia="MS Mincho" w:hAnsi="Arial" w:cs="Arial"/>
          <w:i/>
        </w:rPr>
        <w:t>and intercultural comprehension,</w:t>
      </w:r>
      <w:r w:rsidRPr="00992C73">
        <w:rPr>
          <w:rFonts w:ascii="Arial" w:eastAsia="MS Mincho" w:hAnsi="Arial" w:cs="Arial"/>
          <w:i/>
        </w:rPr>
        <w:t xml:space="preserve"> innovation and c</w:t>
      </w:r>
      <w:r w:rsidR="004815A3" w:rsidRPr="00D77AD6">
        <w:rPr>
          <w:rFonts w:ascii="Arial" w:eastAsia="MS Mincho" w:hAnsi="Arial" w:cs="Arial"/>
          <w:i/>
        </w:rPr>
        <w:t>reativity,</w:t>
      </w:r>
      <w:r w:rsidRPr="00992C73">
        <w:rPr>
          <w:rFonts w:ascii="Arial" w:eastAsia="MS Mincho" w:hAnsi="Arial" w:cs="Arial"/>
          <w:i/>
        </w:rPr>
        <w:t xml:space="preserve"> inter</w:t>
      </w:r>
      <w:r w:rsidR="004815A3" w:rsidRPr="00D77AD6">
        <w:rPr>
          <w:rFonts w:ascii="Arial" w:eastAsia="MS Mincho" w:hAnsi="Arial" w:cs="Arial"/>
          <w:i/>
        </w:rPr>
        <w:t>-</w:t>
      </w:r>
      <w:proofErr w:type="spellStart"/>
      <w:r w:rsidRPr="00992C73">
        <w:rPr>
          <w:rFonts w:ascii="Arial" w:eastAsia="MS Mincho" w:hAnsi="Arial" w:cs="Arial"/>
          <w:i/>
        </w:rPr>
        <w:t>disciplinarity</w:t>
      </w:r>
      <w:proofErr w:type="spellEnd"/>
      <w:r w:rsidR="004815A3" w:rsidRPr="00D77AD6">
        <w:rPr>
          <w:rFonts w:ascii="Arial" w:eastAsia="MS Mincho" w:hAnsi="Arial" w:cs="Arial"/>
          <w:i/>
        </w:rPr>
        <w:t>,</w:t>
      </w:r>
      <w:r w:rsidRPr="00992C73">
        <w:rPr>
          <w:rFonts w:ascii="Arial" w:eastAsia="MS Mincho" w:hAnsi="Arial" w:cs="Arial"/>
          <w:i/>
        </w:rPr>
        <w:t xml:space="preserve"> professional</w:t>
      </w:r>
      <w:r w:rsidR="004815A3" w:rsidRPr="00D77AD6">
        <w:rPr>
          <w:rFonts w:ascii="Arial" w:eastAsia="MS Mincho" w:hAnsi="Arial" w:cs="Arial"/>
          <w:i/>
        </w:rPr>
        <w:t>ism,</w:t>
      </w:r>
      <w:r w:rsidRPr="00992C73">
        <w:rPr>
          <w:rFonts w:ascii="Arial" w:eastAsia="MS Mincho" w:hAnsi="Arial" w:cs="Arial"/>
          <w:i/>
        </w:rPr>
        <w:t xml:space="preserve"> and sustainability.</w:t>
      </w:r>
      <w:r w:rsidRPr="00992C73">
        <w:rPr>
          <w:rFonts w:ascii="Arial" w:eastAsia="MS Mincho" w:hAnsi="Arial" w:cs="Arial"/>
          <w:i/>
        </w:rPr>
        <w:br/>
      </w:r>
    </w:p>
    <w:p w:rsidR="00992C73" w:rsidRPr="00992C73" w:rsidRDefault="00992C73" w:rsidP="00992C73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Arial" w:eastAsia="MS Mincho" w:hAnsi="Arial" w:cs="Arial"/>
          <w:i/>
        </w:rPr>
      </w:pPr>
      <w:r w:rsidRPr="00992C73">
        <w:rPr>
          <w:rFonts w:ascii="Arial" w:eastAsia="MS Mincho" w:hAnsi="Arial" w:cs="Arial"/>
          <w:b/>
          <w:i/>
        </w:rPr>
        <w:t xml:space="preserve">Engagement Professional and Personal Skills </w:t>
      </w:r>
      <w:r w:rsidR="00D77AD6" w:rsidRPr="00D77AD6">
        <w:rPr>
          <w:rFonts w:ascii="Arial" w:eastAsia="MS Mincho" w:hAnsi="Arial" w:cs="Arial"/>
          <w:i/>
        </w:rPr>
        <w:t>[link]</w:t>
      </w:r>
    </w:p>
    <w:p w:rsidR="00992C73" w:rsidRPr="00992C73" w:rsidRDefault="00992C73" w:rsidP="004815A3">
      <w:pPr>
        <w:spacing w:before="100" w:beforeAutospacing="1" w:after="100" w:afterAutospacing="1"/>
        <w:ind w:left="720"/>
        <w:contextualSpacing/>
        <w:rPr>
          <w:rFonts w:ascii="Arial" w:eastAsia="MS Mincho" w:hAnsi="Arial" w:cs="Arial"/>
          <w:i/>
        </w:rPr>
      </w:pPr>
      <w:r w:rsidRPr="00992C73">
        <w:rPr>
          <w:rFonts w:ascii="Arial" w:eastAsia="MS Mincho" w:hAnsi="Arial" w:cs="Arial"/>
          <w:i/>
        </w:rPr>
        <w:t xml:space="preserve">The following are some recommended skills that can be assessed in relation to any engaged learning activity and competency, although others may be </w:t>
      </w:r>
      <w:r w:rsidR="00717426" w:rsidRPr="00D77AD6">
        <w:rPr>
          <w:rFonts w:ascii="Arial" w:eastAsia="MS Mincho" w:hAnsi="Arial" w:cs="Arial"/>
          <w:i/>
        </w:rPr>
        <w:t>identifi</w:t>
      </w:r>
      <w:r w:rsidRPr="00992C73">
        <w:rPr>
          <w:rFonts w:ascii="Arial" w:eastAsia="MS Mincho" w:hAnsi="Arial" w:cs="Arial"/>
          <w:i/>
        </w:rPr>
        <w:t>ed by colleges and departments:  reflection and application (required of all engagement experiences</w:t>
      </w:r>
      <w:r w:rsidR="004815A3" w:rsidRPr="00D77AD6">
        <w:rPr>
          <w:rFonts w:ascii="Arial" w:eastAsia="MS Mincho" w:hAnsi="Arial" w:cs="Arial"/>
          <w:i/>
        </w:rPr>
        <w:t>), communication, collaboration/teamwork,</w:t>
      </w:r>
      <w:r w:rsidRPr="00992C73">
        <w:rPr>
          <w:rFonts w:ascii="Arial" w:eastAsia="MS Mincho" w:hAnsi="Arial" w:cs="Arial"/>
          <w:i/>
        </w:rPr>
        <w:t xml:space="preserve"> pr</w:t>
      </w:r>
      <w:r w:rsidR="004815A3" w:rsidRPr="00D77AD6">
        <w:rPr>
          <w:rFonts w:ascii="Arial" w:eastAsia="MS Mincho" w:hAnsi="Arial" w:cs="Arial"/>
          <w:i/>
        </w:rPr>
        <w:t>oblem solving/critical thinking, project management,</w:t>
      </w:r>
      <w:r w:rsidRPr="00992C73">
        <w:rPr>
          <w:rFonts w:ascii="Arial" w:eastAsia="MS Mincho" w:hAnsi="Arial" w:cs="Arial"/>
          <w:i/>
        </w:rPr>
        <w:t xml:space="preserve"> academic and non-academic career preparedness. </w:t>
      </w:r>
    </w:p>
    <w:p w:rsidR="004815A3" w:rsidRPr="00D77AD6" w:rsidRDefault="004815A3" w:rsidP="00992C73">
      <w:pPr>
        <w:ind w:left="720" w:hanging="360"/>
        <w:rPr>
          <w:rFonts w:ascii="Arial" w:eastAsia="Times New Roman" w:hAnsi="Arial" w:cs="Arial"/>
          <w:i/>
        </w:rPr>
      </w:pPr>
    </w:p>
    <w:p w:rsidR="00992C73" w:rsidRPr="00992C73" w:rsidRDefault="00992C73" w:rsidP="004815A3">
      <w:pPr>
        <w:ind w:left="360"/>
        <w:rPr>
          <w:rFonts w:ascii="Arial" w:eastAsia="Times New Roman" w:hAnsi="Arial" w:cs="Arial"/>
          <w:i/>
        </w:rPr>
      </w:pPr>
      <w:r w:rsidRPr="00992C73">
        <w:rPr>
          <w:rFonts w:ascii="Arial" w:eastAsia="Times New Roman" w:hAnsi="Arial" w:cs="Arial"/>
          <w:i/>
        </w:rPr>
        <w:t xml:space="preserve">A credit-based or non-credit curricular engaged learning experience must focus on one engagement activity and one competency. In addition, it is </w:t>
      </w:r>
      <w:r w:rsidR="004815A3" w:rsidRPr="00D77AD6">
        <w:rPr>
          <w:rFonts w:ascii="Arial" w:eastAsia="Times New Roman" w:hAnsi="Arial" w:cs="Arial"/>
          <w:i/>
        </w:rPr>
        <w:t xml:space="preserve">recommended that each </w:t>
      </w:r>
      <w:r w:rsidRPr="00992C73">
        <w:rPr>
          <w:rFonts w:ascii="Arial" w:eastAsia="Times New Roman" w:hAnsi="Arial" w:cs="Arial"/>
          <w:i/>
        </w:rPr>
        <w:t xml:space="preserve">experience </w:t>
      </w:r>
      <w:r w:rsidR="00717426" w:rsidRPr="00D77AD6">
        <w:rPr>
          <w:rFonts w:ascii="Arial" w:eastAsia="Times New Roman" w:hAnsi="Arial" w:cs="Arial"/>
          <w:i/>
        </w:rPr>
        <w:t xml:space="preserve">contributes to the </w:t>
      </w:r>
      <w:r w:rsidR="00B25872">
        <w:rPr>
          <w:rFonts w:ascii="Arial" w:eastAsia="Times New Roman" w:hAnsi="Arial" w:cs="Arial"/>
          <w:i/>
        </w:rPr>
        <w:t>develop</w:t>
      </w:r>
      <w:r w:rsidR="00717426" w:rsidRPr="00D77AD6">
        <w:rPr>
          <w:rFonts w:ascii="Arial" w:eastAsia="Times New Roman" w:hAnsi="Arial" w:cs="Arial"/>
          <w:i/>
        </w:rPr>
        <w:t xml:space="preserve">ment of </w:t>
      </w:r>
      <w:r w:rsidR="00B25872">
        <w:rPr>
          <w:rFonts w:ascii="Arial" w:eastAsia="Times New Roman" w:hAnsi="Arial" w:cs="Arial"/>
          <w:i/>
        </w:rPr>
        <w:t>specific</w:t>
      </w:r>
      <w:r w:rsidRPr="00992C73">
        <w:rPr>
          <w:rFonts w:ascii="Arial" w:eastAsia="Times New Roman" w:hAnsi="Arial" w:cs="Arial"/>
          <w:i/>
        </w:rPr>
        <w:t xml:space="preserve"> </w:t>
      </w:r>
      <w:r w:rsidR="00717426" w:rsidRPr="00D77AD6">
        <w:rPr>
          <w:rFonts w:ascii="Arial" w:eastAsia="Times New Roman" w:hAnsi="Arial" w:cs="Arial"/>
          <w:i/>
        </w:rPr>
        <w:t>p</w:t>
      </w:r>
      <w:r w:rsidRPr="00992C73">
        <w:rPr>
          <w:rFonts w:ascii="Arial" w:eastAsia="Times New Roman" w:hAnsi="Arial" w:cs="Arial"/>
          <w:i/>
        </w:rPr>
        <w:t xml:space="preserve">rofessional and </w:t>
      </w:r>
      <w:r w:rsidR="00717426" w:rsidRPr="00D77AD6">
        <w:rPr>
          <w:rFonts w:ascii="Arial" w:eastAsia="Times New Roman" w:hAnsi="Arial" w:cs="Arial"/>
          <w:i/>
        </w:rPr>
        <w:t>p</w:t>
      </w:r>
      <w:r w:rsidRPr="00992C73">
        <w:rPr>
          <w:rFonts w:ascii="Arial" w:eastAsia="Times New Roman" w:hAnsi="Arial" w:cs="Arial"/>
          <w:i/>
        </w:rPr>
        <w:t xml:space="preserve">ersonal </w:t>
      </w:r>
      <w:r w:rsidR="00717426" w:rsidRPr="00D77AD6">
        <w:rPr>
          <w:rFonts w:ascii="Arial" w:eastAsia="Times New Roman" w:hAnsi="Arial" w:cs="Arial"/>
          <w:i/>
        </w:rPr>
        <w:t>s</w:t>
      </w:r>
      <w:r w:rsidRPr="00992C73">
        <w:rPr>
          <w:rFonts w:ascii="Arial" w:eastAsia="Times New Roman" w:hAnsi="Arial" w:cs="Arial"/>
          <w:i/>
        </w:rPr>
        <w:t>k</w:t>
      </w:r>
      <w:r w:rsidR="00717426" w:rsidRPr="00D77AD6">
        <w:rPr>
          <w:rFonts w:ascii="Arial" w:eastAsia="Times New Roman" w:hAnsi="Arial" w:cs="Arial"/>
          <w:i/>
        </w:rPr>
        <w:t>ills</w:t>
      </w:r>
      <w:r w:rsidRPr="00992C73">
        <w:rPr>
          <w:rFonts w:ascii="Arial" w:eastAsia="Times New Roman" w:hAnsi="Arial" w:cs="Arial"/>
          <w:i/>
        </w:rPr>
        <w:t>.</w:t>
      </w:r>
    </w:p>
    <w:p w:rsidR="00992C73" w:rsidRPr="00992C73" w:rsidRDefault="00992C73" w:rsidP="00992C73">
      <w:pPr>
        <w:ind w:left="720" w:hanging="360"/>
        <w:rPr>
          <w:rFonts w:ascii="Arial" w:eastAsia="Times New Roman" w:hAnsi="Arial" w:cs="Arial"/>
          <w:b/>
          <w:i/>
        </w:rPr>
      </w:pPr>
    </w:p>
    <w:p w:rsidR="00507353" w:rsidRDefault="00507353" w:rsidP="00992C73">
      <w:pPr>
        <w:ind w:left="720" w:hanging="360"/>
        <w:rPr>
          <w:rFonts w:ascii="Arial" w:eastAsia="Times New Roman" w:hAnsi="Arial" w:cs="Arial"/>
          <w:b/>
          <w:i/>
          <w:u w:val="single"/>
        </w:rPr>
      </w:pPr>
    </w:p>
    <w:p w:rsidR="00992C73" w:rsidRPr="00992C73" w:rsidRDefault="00992C73" w:rsidP="00992C73">
      <w:pPr>
        <w:ind w:left="720" w:hanging="360"/>
        <w:rPr>
          <w:rFonts w:ascii="Arial" w:eastAsia="Times New Roman" w:hAnsi="Arial" w:cs="Arial"/>
          <w:b/>
          <w:i/>
          <w:u w:val="single"/>
        </w:rPr>
      </w:pPr>
      <w:r w:rsidRPr="00992C73">
        <w:rPr>
          <w:rFonts w:ascii="Arial" w:eastAsia="Times New Roman" w:hAnsi="Arial" w:cs="Arial"/>
          <w:b/>
          <w:i/>
          <w:u w:val="single"/>
        </w:rPr>
        <w:lastRenderedPageBreak/>
        <w:t>Graduating with an Engaged Learning Experience</w:t>
      </w:r>
    </w:p>
    <w:p w:rsidR="00992C73" w:rsidRPr="00992C73" w:rsidRDefault="00992C73" w:rsidP="00992C73">
      <w:pPr>
        <w:ind w:left="720" w:hanging="360"/>
        <w:rPr>
          <w:rFonts w:ascii="Arial" w:eastAsia="Times New Roman" w:hAnsi="Arial" w:cs="Arial"/>
          <w:b/>
          <w:i/>
          <w:u w:val="single"/>
        </w:rPr>
      </w:pPr>
    </w:p>
    <w:p w:rsidR="00992C73" w:rsidRPr="00992C73" w:rsidRDefault="00992C73" w:rsidP="00717426">
      <w:pPr>
        <w:ind w:left="360"/>
        <w:rPr>
          <w:rFonts w:ascii="Arial" w:eastAsia="Times New Roman" w:hAnsi="Arial" w:cs="Arial"/>
          <w:i/>
        </w:rPr>
      </w:pPr>
      <w:r w:rsidRPr="00992C73">
        <w:rPr>
          <w:rFonts w:ascii="Arial" w:eastAsia="Times New Roman" w:hAnsi="Arial" w:cs="Arial"/>
          <w:i/>
        </w:rPr>
        <w:t>To graduate with an “Engaged Learning Experience” notation on the academic transcript, students must successfully complete (1) at least one credit-based engagement course at the 300</w:t>
      </w:r>
      <w:r w:rsidR="00717426" w:rsidRPr="00D77AD6">
        <w:rPr>
          <w:rFonts w:ascii="Arial" w:eastAsia="Times New Roman" w:hAnsi="Arial" w:cs="Arial"/>
          <w:i/>
        </w:rPr>
        <w:t>-</w:t>
      </w:r>
      <w:r w:rsidRPr="00992C73">
        <w:rPr>
          <w:rFonts w:ascii="Arial" w:eastAsia="Times New Roman" w:hAnsi="Arial" w:cs="Arial"/>
          <w:i/>
        </w:rPr>
        <w:t xml:space="preserve"> or 400</w:t>
      </w:r>
      <w:r w:rsidR="00717426" w:rsidRPr="00D77AD6">
        <w:rPr>
          <w:rFonts w:ascii="Arial" w:eastAsia="Times New Roman" w:hAnsi="Arial" w:cs="Arial"/>
          <w:i/>
        </w:rPr>
        <w:t>-</w:t>
      </w:r>
      <w:r w:rsidRPr="00992C73">
        <w:rPr>
          <w:rFonts w:ascii="Arial" w:eastAsia="Times New Roman" w:hAnsi="Arial" w:cs="Arial"/>
          <w:i/>
        </w:rPr>
        <w:t xml:space="preserve">level, or (2) a non-credit engagement experience that has been approved by the University Office of Student Engagement.  </w:t>
      </w:r>
      <w:r w:rsidRPr="00992C73">
        <w:rPr>
          <w:rFonts w:ascii="Arial" w:eastAsia="Times New Roman" w:hAnsi="Arial" w:cs="Arial"/>
          <w:b/>
          <w:i/>
        </w:rPr>
        <w:t>Note:</w:t>
      </w:r>
      <w:r w:rsidRPr="00992C73">
        <w:rPr>
          <w:rFonts w:ascii="Arial" w:eastAsia="Times New Roman" w:hAnsi="Arial" w:cs="Arial"/>
          <w:i/>
        </w:rPr>
        <w:t xml:space="preserve">  If the upper division course is assigned a regular grade, the student must achieve a C or </w:t>
      </w:r>
      <w:r w:rsidR="00717426" w:rsidRPr="00D77AD6">
        <w:rPr>
          <w:rFonts w:ascii="Arial" w:eastAsia="Times New Roman" w:hAnsi="Arial" w:cs="Arial"/>
          <w:i/>
        </w:rPr>
        <w:t>high</w:t>
      </w:r>
      <w:r w:rsidRPr="00992C73">
        <w:rPr>
          <w:rFonts w:ascii="Arial" w:eastAsia="Times New Roman" w:hAnsi="Arial" w:cs="Arial"/>
          <w:i/>
        </w:rPr>
        <w:t xml:space="preserve">er to graduate with </w:t>
      </w:r>
      <w:r w:rsidR="00A67BE1" w:rsidRPr="00D77AD6">
        <w:rPr>
          <w:rFonts w:ascii="Arial" w:eastAsia="Times New Roman" w:hAnsi="Arial" w:cs="Arial"/>
          <w:i/>
        </w:rPr>
        <w:t>“Engaged Learning</w:t>
      </w:r>
      <w:r w:rsidRPr="00992C73">
        <w:rPr>
          <w:rFonts w:ascii="Arial" w:eastAsia="Times New Roman" w:hAnsi="Arial" w:cs="Arial"/>
          <w:i/>
        </w:rPr>
        <w:t>.”</w:t>
      </w:r>
    </w:p>
    <w:p w:rsidR="00992C73" w:rsidRPr="00992C73" w:rsidRDefault="00992C73" w:rsidP="00992C73">
      <w:pPr>
        <w:ind w:left="720" w:hanging="360"/>
        <w:rPr>
          <w:rFonts w:ascii="Arial" w:eastAsia="Times New Roman" w:hAnsi="Arial" w:cs="Arial"/>
          <w:i/>
        </w:rPr>
      </w:pPr>
    </w:p>
    <w:p w:rsidR="00992C73" w:rsidRPr="00507353" w:rsidRDefault="00992C73" w:rsidP="00992C73">
      <w:pPr>
        <w:ind w:left="720" w:hanging="360"/>
        <w:rPr>
          <w:rFonts w:ascii="Arial" w:eastAsia="Times New Roman" w:hAnsi="Arial" w:cs="Arial"/>
          <w:i/>
          <w:u w:val="single"/>
        </w:rPr>
      </w:pPr>
      <w:r w:rsidRPr="00507353">
        <w:rPr>
          <w:rFonts w:ascii="Arial" w:eastAsia="Times New Roman" w:hAnsi="Arial" w:cs="Arial"/>
          <w:b/>
          <w:bCs/>
          <w:i/>
          <w:color w:val="000000"/>
          <w:u w:val="single"/>
        </w:rPr>
        <w:t>Guidelines for Credit-Based Engagement Courses:</w:t>
      </w:r>
    </w:p>
    <w:p w:rsidR="00992C73" w:rsidRPr="00992C73" w:rsidRDefault="00992C73" w:rsidP="00992C73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i/>
        </w:rPr>
      </w:pPr>
      <w:r w:rsidRPr="00992C73">
        <w:rPr>
          <w:rFonts w:ascii="Arial" w:eastAsia="; color: black" w:hAnsi="Arial" w:cs="Arial"/>
          <w:i/>
        </w:rPr>
        <w:t xml:space="preserve">Credit-based engagement courses may be offered by an academic college or department. </w:t>
      </w:r>
    </w:p>
    <w:p w:rsidR="00992C73" w:rsidRPr="00992C73" w:rsidRDefault="00FB2619" w:rsidP="00992C73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i/>
        </w:rPr>
      </w:pPr>
      <w:r w:rsidRPr="00D77AD6">
        <w:rPr>
          <w:rFonts w:ascii="Arial" w:eastAsia="; color: black" w:hAnsi="Arial" w:cs="Arial"/>
          <w:i/>
        </w:rPr>
        <w:t>The “</w:t>
      </w:r>
      <w:r w:rsidR="00992C73" w:rsidRPr="00992C73">
        <w:rPr>
          <w:rFonts w:ascii="Arial" w:eastAsia="; color: black" w:hAnsi="Arial" w:cs="Arial"/>
          <w:i/>
        </w:rPr>
        <w:t>engaged learning experience</w:t>
      </w:r>
      <w:r w:rsidRPr="00D77AD6">
        <w:rPr>
          <w:rFonts w:ascii="Arial" w:eastAsia="; color: black" w:hAnsi="Arial" w:cs="Arial"/>
          <w:i/>
        </w:rPr>
        <w:t>”</w:t>
      </w:r>
      <w:r w:rsidR="00992C73" w:rsidRPr="00992C73">
        <w:rPr>
          <w:rFonts w:ascii="Arial" w:eastAsia="; color: black" w:hAnsi="Arial" w:cs="Arial"/>
          <w:i/>
        </w:rPr>
        <w:t xml:space="preserve"> </w:t>
      </w:r>
      <w:r w:rsidR="00B25872">
        <w:rPr>
          <w:rFonts w:ascii="Arial" w:eastAsia="; color: black" w:hAnsi="Arial" w:cs="Arial"/>
          <w:i/>
        </w:rPr>
        <w:t xml:space="preserve">attribute </w:t>
      </w:r>
      <w:r w:rsidR="00992C73" w:rsidRPr="00992C73">
        <w:rPr>
          <w:rFonts w:ascii="Arial" w:eastAsia="; color: black" w:hAnsi="Arial" w:cs="Arial"/>
          <w:i/>
        </w:rPr>
        <w:t>may be assigned at the course or section level.</w:t>
      </w:r>
    </w:p>
    <w:p w:rsidR="00992C73" w:rsidRPr="00992C73" w:rsidRDefault="00992C73" w:rsidP="00992C73">
      <w:pPr>
        <w:numPr>
          <w:ilvl w:val="0"/>
          <w:numId w:val="5"/>
        </w:numPr>
        <w:contextualSpacing/>
        <w:rPr>
          <w:rFonts w:ascii="Arial" w:eastAsia="MS Mincho" w:hAnsi="Arial" w:cs="Arial"/>
          <w:i/>
        </w:rPr>
      </w:pPr>
      <w:r w:rsidRPr="00992C73">
        <w:rPr>
          <w:rFonts w:ascii="Arial" w:eastAsia="MS Mincho" w:hAnsi="Arial" w:cs="Arial"/>
          <w:i/>
        </w:rPr>
        <w:t xml:space="preserve">All student engagement courses </w:t>
      </w:r>
      <w:r w:rsidR="00FB2619" w:rsidRPr="00D77AD6">
        <w:rPr>
          <w:rFonts w:ascii="Arial" w:eastAsia="MS Mincho" w:hAnsi="Arial" w:cs="Arial"/>
          <w:i/>
        </w:rPr>
        <w:t>must</w:t>
      </w:r>
      <w:r w:rsidRPr="00992C73">
        <w:rPr>
          <w:rFonts w:ascii="Arial" w:eastAsia="MS Mincho" w:hAnsi="Arial" w:cs="Arial"/>
          <w:i/>
        </w:rPr>
        <w:t xml:space="preserve"> have a syllabus detailing:  (1) </w:t>
      </w:r>
      <w:r w:rsidR="00FB2619" w:rsidRPr="00D77AD6">
        <w:rPr>
          <w:rFonts w:ascii="Arial" w:eastAsia="MS Mincho" w:hAnsi="Arial" w:cs="Arial"/>
          <w:i/>
        </w:rPr>
        <w:t xml:space="preserve">an </w:t>
      </w:r>
      <w:r w:rsidRPr="00992C73">
        <w:rPr>
          <w:rFonts w:ascii="Arial" w:eastAsia="MS Mincho" w:hAnsi="Arial" w:cs="Arial"/>
          <w:i/>
        </w:rPr>
        <w:t xml:space="preserve">engagement activity, (2) </w:t>
      </w:r>
      <w:r w:rsidR="00FB2619" w:rsidRPr="00D77AD6">
        <w:rPr>
          <w:rFonts w:ascii="Arial" w:eastAsia="MS Mincho" w:hAnsi="Arial" w:cs="Arial"/>
          <w:i/>
        </w:rPr>
        <w:t xml:space="preserve">an </w:t>
      </w:r>
      <w:r w:rsidRPr="00992C73">
        <w:rPr>
          <w:rFonts w:ascii="Arial" w:eastAsia="MS Mincho" w:hAnsi="Arial" w:cs="Arial"/>
          <w:i/>
        </w:rPr>
        <w:t>engagement competency, (3) student learning outcomes, (4) grading policy, (5) expected work products and reflection activities, and (6) reference</w:t>
      </w:r>
      <w:r w:rsidR="00FB2619" w:rsidRPr="00D77AD6">
        <w:rPr>
          <w:rFonts w:ascii="Arial" w:eastAsia="MS Mincho" w:hAnsi="Arial" w:cs="Arial"/>
          <w:i/>
        </w:rPr>
        <w:t>s to</w:t>
      </w:r>
      <w:r w:rsidRPr="00992C73">
        <w:rPr>
          <w:rFonts w:ascii="Arial" w:eastAsia="MS Mincho" w:hAnsi="Arial" w:cs="Arial"/>
          <w:i/>
        </w:rPr>
        <w:t xml:space="preserve"> </w:t>
      </w:r>
      <w:r w:rsidR="00FB2619" w:rsidRPr="00D77AD6">
        <w:rPr>
          <w:rFonts w:ascii="Arial" w:eastAsia="MS Mincho" w:hAnsi="Arial" w:cs="Arial"/>
          <w:i/>
        </w:rPr>
        <w:t>p</w:t>
      </w:r>
      <w:r w:rsidRPr="00992C73">
        <w:rPr>
          <w:rFonts w:ascii="Arial" w:eastAsia="MS Mincho" w:hAnsi="Arial" w:cs="Arial"/>
          <w:i/>
        </w:rPr>
        <w:t xml:space="preserve">olicies such as </w:t>
      </w:r>
      <w:r w:rsidR="00FB2619" w:rsidRPr="00D77AD6">
        <w:rPr>
          <w:rFonts w:ascii="Arial" w:eastAsia="MS Mincho" w:hAnsi="Arial" w:cs="Arial"/>
          <w:i/>
        </w:rPr>
        <w:t xml:space="preserve">those on </w:t>
      </w:r>
      <w:r w:rsidRPr="00992C73">
        <w:rPr>
          <w:rFonts w:ascii="Arial" w:eastAsia="MS Mincho" w:hAnsi="Arial" w:cs="Arial"/>
          <w:i/>
        </w:rPr>
        <w:t xml:space="preserve">threatening behavior, academic integrity, and accessibility and accommodations.  </w:t>
      </w:r>
      <w:r w:rsidR="00FB2619" w:rsidRPr="00D77AD6">
        <w:rPr>
          <w:rFonts w:ascii="Arial" w:eastAsia="MS Mincho" w:hAnsi="Arial" w:cs="Arial"/>
          <w:i/>
        </w:rPr>
        <w:t>The syllabus</w:t>
      </w:r>
      <w:r w:rsidRPr="00992C73">
        <w:rPr>
          <w:rFonts w:ascii="Arial" w:eastAsia="MS Mincho" w:hAnsi="Arial" w:cs="Arial"/>
          <w:i/>
        </w:rPr>
        <w:t xml:space="preserve"> must comply with</w:t>
      </w:r>
      <w:r w:rsidR="00FB2619" w:rsidRPr="00D77AD6">
        <w:rPr>
          <w:rFonts w:ascii="Arial" w:eastAsia="MS Mincho" w:hAnsi="Arial" w:cs="Arial"/>
          <w:i/>
        </w:rPr>
        <w:t xml:space="preserve"> the</w:t>
      </w:r>
      <w:r w:rsidRPr="00992C73">
        <w:rPr>
          <w:rFonts w:ascii="Arial" w:eastAsia="MS Mincho" w:hAnsi="Arial" w:cs="Arial"/>
          <w:i/>
        </w:rPr>
        <w:t xml:space="preserve"> </w:t>
      </w:r>
      <w:hyperlink r:id="rId8" w:history="1">
        <w:r w:rsidRPr="00D77AD6">
          <w:rPr>
            <w:rFonts w:ascii="Arial" w:eastAsia="MS Mincho" w:hAnsi="Arial" w:cs="Arial"/>
            <w:i/>
            <w:color w:val="0000FF"/>
            <w:u w:val="single"/>
          </w:rPr>
          <w:t>Undergraduate Course Syllabus Policy</w:t>
        </w:r>
      </w:hyperlink>
      <w:r w:rsidRPr="00992C73">
        <w:rPr>
          <w:rFonts w:ascii="Arial" w:eastAsia="MS Mincho" w:hAnsi="Arial" w:cs="Arial"/>
          <w:i/>
        </w:rPr>
        <w:t xml:space="preserve">. </w:t>
      </w:r>
    </w:p>
    <w:p w:rsidR="00992C73" w:rsidRPr="00992C73" w:rsidRDefault="002E5D5F" w:rsidP="00992C73">
      <w:pPr>
        <w:numPr>
          <w:ilvl w:val="0"/>
          <w:numId w:val="5"/>
        </w:numPr>
        <w:contextualSpacing/>
        <w:rPr>
          <w:rFonts w:ascii="Arial" w:eastAsia="MS Mincho" w:hAnsi="Arial" w:cs="Arial"/>
          <w:i/>
        </w:rPr>
      </w:pPr>
      <w:r w:rsidRPr="00D77AD6">
        <w:rPr>
          <w:rFonts w:ascii="Arial" w:eastAsia="MS Mincho" w:hAnsi="Arial" w:cs="Arial"/>
          <w:i/>
        </w:rPr>
        <w:t>The home department</w:t>
      </w:r>
      <w:r w:rsidR="00992C73" w:rsidRPr="00992C73">
        <w:rPr>
          <w:rFonts w:ascii="Arial" w:eastAsia="MS Mincho" w:hAnsi="Arial" w:cs="Arial"/>
          <w:i/>
        </w:rPr>
        <w:t xml:space="preserve"> and college must approve </w:t>
      </w:r>
      <w:r w:rsidRPr="00D77AD6">
        <w:rPr>
          <w:rFonts w:ascii="Arial" w:eastAsia="MS Mincho" w:hAnsi="Arial" w:cs="Arial"/>
          <w:i/>
        </w:rPr>
        <w:t>the</w:t>
      </w:r>
      <w:r w:rsidR="00992C73" w:rsidRPr="00992C73">
        <w:rPr>
          <w:rFonts w:ascii="Arial" w:eastAsia="MS Mincho" w:hAnsi="Arial" w:cs="Arial"/>
          <w:i/>
        </w:rPr>
        <w:t xml:space="preserve"> </w:t>
      </w:r>
      <w:r w:rsidRPr="00D77AD6">
        <w:rPr>
          <w:rFonts w:ascii="Arial" w:eastAsia="MS Mincho" w:hAnsi="Arial" w:cs="Arial"/>
          <w:i/>
        </w:rPr>
        <w:t>engagement course syllabus</w:t>
      </w:r>
      <w:r w:rsidR="00992C73" w:rsidRPr="00992C73">
        <w:rPr>
          <w:rFonts w:ascii="Arial" w:eastAsia="MS Mincho" w:hAnsi="Arial" w:cs="Arial"/>
          <w:i/>
        </w:rPr>
        <w:t xml:space="preserve">.  No course will be identified in the Course Catalog or Schedule of Classes as meeting the University’s criteria for an “Engaged Learning Experience” </w:t>
      </w:r>
      <w:r w:rsidRPr="00D77AD6">
        <w:rPr>
          <w:rFonts w:ascii="Arial" w:eastAsia="MS Mincho" w:hAnsi="Arial" w:cs="Arial"/>
          <w:i/>
        </w:rPr>
        <w:t>without</w:t>
      </w:r>
      <w:r w:rsidR="00992C73" w:rsidRPr="00992C73">
        <w:rPr>
          <w:rFonts w:ascii="Arial" w:eastAsia="MS Mincho" w:hAnsi="Arial" w:cs="Arial"/>
          <w:i/>
        </w:rPr>
        <w:t xml:space="preserve"> college</w:t>
      </w:r>
      <w:r w:rsidRPr="00D77AD6">
        <w:rPr>
          <w:rFonts w:ascii="Arial" w:eastAsia="MS Mincho" w:hAnsi="Arial" w:cs="Arial"/>
          <w:i/>
        </w:rPr>
        <w:t xml:space="preserve"> approval</w:t>
      </w:r>
      <w:r w:rsidR="00992C73" w:rsidRPr="00992C73">
        <w:rPr>
          <w:rFonts w:ascii="Arial" w:eastAsia="MS Mincho" w:hAnsi="Arial" w:cs="Arial"/>
          <w:i/>
        </w:rPr>
        <w:t>.</w:t>
      </w:r>
    </w:p>
    <w:p w:rsidR="00992C73" w:rsidRPr="00992C73" w:rsidRDefault="00992C73" w:rsidP="00992C73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i/>
        </w:rPr>
      </w:pPr>
      <w:r w:rsidRPr="00992C73">
        <w:rPr>
          <w:rFonts w:ascii="Arial" w:eastAsia="Times New Roman" w:hAnsi="Arial" w:cs="Arial"/>
          <w:i/>
        </w:rPr>
        <w:t xml:space="preserve">Grading System:  Per the course category (e.g., Individual Studies, Small Group Courses) engagement courses may be offered for the </w:t>
      </w:r>
      <w:hyperlink r:id="rId9" w:anchor="regular" w:history="1">
        <w:r w:rsidRPr="00D77AD6">
          <w:rPr>
            <w:rFonts w:ascii="Arial" w:eastAsia="Times New Roman" w:hAnsi="Arial" w:cs="Arial"/>
            <w:i/>
            <w:color w:val="0000FF"/>
            <w:u w:val="single"/>
          </w:rPr>
          <w:t>S,P,F,I</w:t>
        </w:r>
      </w:hyperlink>
      <w:r w:rsidRPr="00992C73">
        <w:rPr>
          <w:rFonts w:ascii="Arial" w:eastAsia="Times New Roman" w:hAnsi="Arial" w:cs="Arial"/>
          <w:i/>
        </w:rPr>
        <w:t xml:space="preserve"> alternative grading system, </w:t>
      </w:r>
      <w:hyperlink r:id="rId10" w:anchor="passfail" w:history="1">
        <w:r w:rsidRPr="00992C73">
          <w:rPr>
            <w:rFonts w:ascii="Arial" w:eastAsia="Times New Roman" w:hAnsi="Arial" w:cs="Arial"/>
            <w:i/>
            <w:color w:val="0000FF"/>
            <w:u w:val="single"/>
          </w:rPr>
          <w:t>Pass/Fail</w:t>
        </w:r>
      </w:hyperlink>
      <w:r w:rsidRPr="00992C73">
        <w:rPr>
          <w:rFonts w:ascii="Arial" w:eastAsia="Times New Roman" w:hAnsi="Arial" w:cs="Arial"/>
          <w:i/>
        </w:rPr>
        <w:t xml:space="preserve"> system, or </w:t>
      </w:r>
      <w:hyperlink r:id="rId11" w:anchor="regular" w:history="1">
        <w:r w:rsidRPr="00D77AD6">
          <w:rPr>
            <w:rFonts w:ascii="Arial" w:eastAsia="Times New Roman" w:hAnsi="Arial" w:cs="Arial"/>
            <w:i/>
            <w:color w:val="0000FF"/>
            <w:u w:val="single"/>
          </w:rPr>
          <w:t>Regular Grades</w:t>
        </w:r>
      </w:hyperlink>
      <w:r w:rsidRPr="00D77AD6">
        <w:rPr>
          <w:rFonts w:ascii="Arial" w:eastAsia="Times New Roman" w:hAnsi="Arial" w:cs="Arial"/>
          <w:i/>
          <w:color w:val="0000FF"/>
          <w:u w:val="single"/>
        </w:rPr>
        <w:t>,</w:t>
      </w:r>
      <w:r w:rsidRPr="00992C73">
        <w:rPr>
          <w:rFonts w:ascii="Arial" w:eastAsia="Times New Roman" w:hAnsi="Arial" w:cs="Arial"/>
          <w:i/>
        </w:rPr>
        <w:t xml:space="preserve"> as long as the system is </w:t>
      </w:r>
      <w:r w:rsidR="002E5D5F" w:rsidRPr="00D77AD6">
        <w:rPr>
          <w:rFonts w:ascii="Arial" w:eastAsia="Times New Roman" w:hAnsi="Arial" w:cs="Arial"/>
          <w:i/>
        </w:rPr>
        <w:t>identified in the syllabus</w:t>
      </w:r>
      <w:r w:rsidRPr="00992C73">
        <w:rPr>
          <w:rFonts w:ascii="Arial" w:eastAsia="Times New Roman" w:hAnsi="Arial" w:cs="Arial"/>
          <w:i/>
        </w:rPr>
        <w:t>. The grading system is determined by the offering instructor</w:t>
      </w:r>
      <w:r w:rsidRPr="00992C73">
        <w:rPr>
          <w:rFonts w:ascii="Arial" w:eastAsia="Times New Roman" w:hAnsi="Arial" w:cs="Arial"/>
          <w:i/>
          <w:color w:val="FF0000"/>
        </w:rPr>
        <w:t xml:space="preserve"> </w:t>
      </w:r>
      <w:r w:rsidRPr="00992C73">
        <w:rPr>
          <w:rFonts w:ascii="Arial" w:eastAsia="Times New Roman" w:hAnsi="Arial" w:cs="Arial"/>
          <w:i/>
        </w:rPr>
        <w:t>and applied consistently at the section level of that course.  </w:t>
      </w:r>
      <w:r w:rsidRPr="00992C73">
        <w:rPr>
          <w:rFonts w:ascii="Arial" w:eastAsia="Times New Roman" w:hAnsi="Arial" w:cs="Arial"/>
          <w:b/>
          <w:i/>
        </w:rPr>
        <w:t>Note:</w:t>
      </w:r>
      <w:r w:rsidRPr="00992C73">
        <w:rPr>
          <w:rFonts w:ascii="Arial" w:eastAsia="Times New Roman" w:hAnsi="Arial" w:cs="Arial"/>
          <w:i/>
        </w:rPr>
        <w:t xml:space="preserve">  For upper division courses with regular grades, students must e</w:t>
      </w:r>
      <w:r w:rsidR="002E5D5F" w:rsidRPr="00D77AD6">
        <w:rPr>
          <w:rFonts w:ascii="Arial" w:eastAsia="Times New Roman" w:hAnsi="Arial" w:cs="Arial"/>
          <w:i/>
        </w:rPr>
        <w:t>arn</w:t>
      </w:r>
      <w:r w:rsidRPr="00992C73">
        <w:rPr>
          <w:rFonts w:ascii="Arial" w:eastAsia="Times New Roman" w:hAnsi="Arial" w:cs="Arial"/>
          <w:i/>
        </w:rPr>
        <w:t xml:space="preserve"> a C </w:t>
      </w:r>
      <w:r w:rsidR="002E5D5F" w:rsidRPr="00D77AD6">
        <w:rPr>
          <w:rFonts w:ascii="Arial" w:eastAsia="Times New Roman" w:hAnsi="Arial" w:cs="Arial"/>
          <w:i/>
        </w:rPr>
        <w:t xml:space="preserve">grade </w:t>
      </w:r>
      <w:r w:rsidRPr="00992C73">
        <w:rPr>
          <w:rFonts w:ascii="Arial" w:eastAsia="Times New Roman" w:hAnsi="Arial" w:cs="Arial"/>
          <w:i/>
        </w:rPr>
        <w:t xml:space="preserve">or </w:t>
      </w:r>
      <w:r w:rsidR="002E5D5F" w:rsidRPr="00D77AD6">
        <w:rPr>
          <w:rFonts w:ascii="Arial" w:eastAsia="Times New Roman" w:hAnsi="Arial" w:cs="Arial"/>
          <w:i/>
        </w:rPr>
        <w:t>high</w:t>
      </w:r>
      <w:r w:rsidRPr="00992C73">
        <w:rPr>
          <w:rFonts w:ascii="Arial" w:eastAsia="Times New Roman" w:hAnsi="Arial" w:cs="Arial"/>
          <w:i/>
        </w:rPr>
        <w:t xml:space="preserve">er to graduate with </w:t>
      </w:r>
      <w:r w:rsidR="002E5D5F" w:rsidRPr="00D77AD6">
        <w:rPr>
          <w:rFonts w:ascii="Arial" w:eastAsia="Times New Roman" w:hAnsi="Arial" w:cs="Arial"/>
          <w:i/>
        </w:rPr>
        <w:t xml:space="preserve">an </w:t>
      </w:r>
      <w:r w:rsidRPr="00992C73">
        <w:rPr>
          <w:rFonts w:ascii="Arial" w:eastAsia="Times New Roman" w:hAnsi="Arial" w:cs="Arial"/>
          <w:i/>
        </w:rPr>
        <w:t>“Engaged Learning Experience” on their transcript.  Colleges may require a grade higher than C</w:t>
      </w:r>
      <w:r w:rsidR="002E5D5F" w:rsidRPr="00D77AD6">
        <w:rPr>
          <w:rFonts w:ascii="Arial" w:eastAsia="Times New Roman" w:hAnsi="Arial" w:cs="Arial"/>
          <w:i/>
        </w:rPr>
        <w:t>-level</w:t>
      </w:r>
      <w:r w:rsidRPr="00992C73">
        <w:rPr>
          <w:rFonts w:ascii="Arial" w:eastAsia="Times New Roman" w:hAnsi="Arial" w:cs="Arial"/>
          <w:i/>
        </w:rPr>
        <w:t xml:space="preserve"> to earn the notation. </w:t>
      </w:r>
    </w:p>
    <w:p w:rsidR="00992C73" w:rsidRPr="00992C73" w:rsidRDefault="00992C73" w:rsidP="00992C73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i/>
        </w:rPr>
      </w:pPr>
      <w:r w:rsidRPr="00992C73">
        <w:rPr>
          <w:rFonts w:ascii="Arial" w:eastAsia="Times New Roman" w:hAnsi="Arial" w:cs="Arial"/>
          <w:i/>
        </w:rPr>
        <w:t xml:space="preserve">Courses may be </w:t>
      </w:r>
      <w:r w:rsidR="00B25872">
        <w:rPr>
          <w:rFonts w:ascii="Arial" w:eastAsia="Times New Roman" w:hAnsi="Arial" w:cs="Arial"/>
          <w:i/>
        </w:rPr>
        <w:t>offered online, in person</w:t>
      </w:r>
      <w:r w:rsidRPr="00992C73">
        <w:rPr>
          <w:rFonts w:ascii="Arial" w:eastAsia="Times New Roman" w:hAnsi="Arial" w:cs="Arial"/>
          <w:i/>
        </w:rPr>
        <w:t xml:space="preserve">, or </w:t>
      </w:r>
      <w:r w:rsidR="00B25872">
        <w:rPr>
          <w:rFonts w:ascii="Arial" w:eastAsia="Times New Roman" w:hAnsi="Arial" w:cs="Arial"/>
          <w:i/>
        </w:rPr>
        <w:t>in hybrid</w:t>
      </w:r>
      <w:r w:rsidRPr="00992C73">
        <w:rPr>
          <w:rFonts w:ascii="Arial" w:eastAsia="Times New Roman" w:hAnsi="Arial" w:cs="Arial"/>
          <w:i/>
        </w:rPr>
        <w:t xml:space="preserve"> formats.  </w:t>
      </w:r>
    </w:p>
    <w:p w:rsidR="00992C73" w:rsidRPr="00992C73" w:rsidRDefault="00992C73" w:rsidP="00992C73">
      <w:pPr>
        <w:spacing w:before="100" w:beforeAutospacing="1" w:after="100" w:afterAutospacing="1"/>
        <w:ind w:left="720" w:hanging="360"/>
        <w:rPr>
          <w:rFonts w:ascii="Arial" w:eastAsia="Times New Roman" w:hAnsi="Arial" w:cs="Arial"/>
          <w:b/>
          <w:bCs/>
          <w:i/>
        </w:rPr>
      </w:pPr>
      <w:r w:rsidRPr="00507353">
        <w:rPr>
          <w:rFonts w:ascii="Arial" w:eastAsia="Times New Roman" w:hAnsi="Arial" w:cs="Arial"/>
          <w:b/>
          <w:bCs/>
          <w:i/>
          <w:u w:val="single"/>
        </w:rPr>
        <w:t>Guidelines for Non-Credit Engagement Experiences</w:t>
      </w:r>
      <w:r w:rsidRPr="00992C73">
        <w:rPr>
          <w:rFonts w:ascii="Arial" w:eastAsia="Times New Roman" w:hAnsi="Arial" w:cs="Arial"/>
          <w:b/>
          <w:bCs/>
          <w:i/>
        </w:rPr>
        <w:t xml:space="preserve">: </w:t>
      </w:r>
    </w:p>
    <w:p w:rsidR="00992C73" w:rsidRDefault="00992C73" w:rsidP="002E5D5F">
      <w:pPr>
        <w:widowControl w:val="0"/>
        <w:autoSpaceDE w:val="0"/>
        <w:autoSpaceDN w:val="0"/>
        <w:adjustRightInd w:val="0"/>
        <w:ind w:left="360"/>
        <w:rPr>
          <w:rFonts w:ascii="Arial" w:eastAsia="Times New Roman" w:hAnsi="Arial" w:cs="Arial"/>
          <w:bCs/>
          <w:i/>
        </w:rPr>
      </w:pPr>
      <w:r w:rsidRPr="00992C73">
        <w:rPr>
          <w:rFonts w:ascii="Arial" w:eastAsia="Times New Roman" w:hAnsi="Arial" w:cs="Arial"/>
          <w:bCs/>
          <w:i/>
        </w:rPr>
        <w:t>Students may also meet the cr</w:t>
      </w:r>
      <w:r w:rsidR="006F7569">
        <w:rPr>
          <w:rFonts w:ascii="Arial" w:eastAsia="Times New Roman" w:hAnsi="Arial" w:cs="Arial"/>
          <w:bCs/>
          <w:i/>
        </w:rPr>
        <w:t>iteria for graduating with an “</w:t>
      </w:r>
      <w:r w:rsidR="00507353">
        <w:rPr>
          <w:rFonts w:ascii="Arial" w:eastAsia="Times New Roman" w:hAnsi="Arial" w:cs="Arial"/>
          <w:bCs/>
          <w:i/>
        </w:rPr>
        <w:t>E</w:t>
      </w:r>
      <w:r w:rsidRPr="00992C73">
        <w:rPr>
          <w:rFonts w:ascii="Arial" w:eastAsia="Times New Roman" w:hAnsi="Arial" w:cs="Arial"/>
          <w:bCs/>
          <w:i/>
        </w:rPr>
        <w:t xml:space="preserve">ngaged </w:t>
      </w:r>
      <w:r w:rsidR="00507353">
        <w:rPr>
          <w:rFonts w:ascii="Arial" w:eastAsia="Times New Roman" w:hAnsi="Arial" w:cs="Arial"/>
          <w:bCs/>
          <w:i/>
        </w:rPr>
        <w:t>L</w:t>
      </w:r>
      <w:r w:rsidRPr="00992C73">
        <w:rPr>
          <w:rFonts w:ascii="Arial" w:eastAsia="Times New Roman" w:hAnsi="Arial" w:cs="Arial"/>
          <w:bCs/>
          <w:i/>
        </w:rPr>
        <w:t xml:space="preserve">earning </w:t>
      </w:r>
      <w:r w:rsidR="00507353">
        <w:rPr>
          <w:rFonts w:ascii="Arial" w:eastAsia="Times New Roman" w:hAnsi="Arial" w:cs="Arial"/>
          <w:bCs/>
          <w:i/>
        </w:rPr>
        <w:t>E</w:t>
      </w:r>
      <w:r w:rsidRPr="00992C73">
        <w:rPr>
          <w:rFonts w:ascii="Arial" w:eastAsia="Times New Roman" w:hAnsi="Arial" w:cs="Arial"/>
          <w:bCs/>
          <w:i/>
        </w:rPr>
        <w:t>xperience” by registering for one of the University’s approved non-credit experiences. The Office of Student Engagement maintains a list of approved non-credit learning experiences. These engagement experiences must:</w:t>
      </w:r>
    </w:p>
    <w:p w:rsidR="00507353" w:rsidRPr="00992C73" w:rsidRDefault="00507353" w:rsidP="002E5D5F">
      <w:pPr>
        <w:widowControl w:val="0"/>
        <w:autoSpaceDE w:val="0"/>
        <w:autoSpaceDN w:val="0"/>
        <w:adjustRightInd w:val="0"/>
        <w:ind w:left="360"/>
        <w:rPr>
          <w:rFonts w:ascii="Arial" w:eastAsia="Times New Roman" w:hAnsi="Arial" w:cs="Arial"/>
          <w:bCs/>
          <w:i/>
        </w:rPr>
      </w:pPr>
      <w:bookmarkStart w:id="0" w:name="_GoBack"/>
      <w:bookmarkEnd w:id="0"/>
    </w:p>
    <w:p w:rsidR="00992C73" w:rsidRPr="00992C73" w:rsidRDefault="006F7569" w:rsidP="00992C73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Arial" w:eastAsia="MS Mincho" w:hAnsi="Arial" w:cs="Arial"/>
          <w:i/>
        </w:rPr>
      </w:pPr>
      <w:r>
        <w:rPr>
          <w:rFonts w:ascii="Arial" w:eastAsia="Times New Roman" w:hAnsi="Arial" w:cs="Arial"/>
          <w:bCs/>
          <w:i/>
        </w:rPr>
        <w:t>B</w:t>
      </w:r>
      <w:r w:rsidR="00992C73" w:rsidRPr="00992C73">
        <w:rPr>
          <w:rFonts w:ascii="Arial" w:eastAsia="Times New Roman" w:hAnsi="Arial" w:cs="Arial"/>
          <w:bCs/>
          <w:i/>
        </w:rPr>
        <w:t>e approved by the Office of Student Engagement</w:t>
      </w:r>
      <w:r w:rsidR="00A9364C" w:rsidRPr="00D77AD6">
        <w:rPr>
          <w:rFonts w:ascii="Arial" w:eastAsia="Times New Roman" w:hAnsi="Arial" w:cs="Arial"/>
          <w:bCs/>
          <w:i/>
        </w:rPr>
        <w:t xml:space="preserve">’s </w:t>
      </w:r>
      <w:r w:rsidR="00992C73" w:rsidRPr="00992C73">
        <w:rPr>
          <w:rFonts w:ascii="Arial" w:eastAsia="Times New Roman" w:hAnsi="Arial" w:cs="Arial"/>
          <w:bCs/>
          <w:i/>
        </w:rPr>
        <w:t>committee of faculty and staff that review</w:t>
      </w:r>
      <w:r w:rsidR="00A9364C" w:rsidRPr="00D77AD6">
        <w:rPr>
          <w:rFonts w:ascii="Arial" w:eastAsia="Times New Roman" w:hAnsi="Arial" w:cs="Arial"/>
          <w:bCs/>
          <w:i/>
        </w:rPr>
        <w:t>s</w:t>
      </w:r>
      <w:r w:rsidR="00992C73" w:rsidRPr="00992C73">
        <w:rPr>
          <w:rFonts w:ascii="Arial" w:eastAsia="Times New Roman" w:hAnsi="Arial" w:cs="Arial"/>
          <w:bCs/>
          <w:i/>
        </w:rPr>
        <w:t xml:space="preserve"> all</w:t>
      </w:r>
      <w:r w:rsidR="00A9364C" w:rsidRPr="00D77AD6">
        <w:rPr>
          <w:rFonts w:ascii="Arial" w:eastAsia="Times New Roman" w:hAnsi="Arial" w:cs="Arial"/>
          <w:bCs/>
          <w:i/>
        </w:rPr>
        <w:t xml:space="preserve"> non-credit experiences</w:t>
      </w:r>
      <w:r w:rsidR="00992C73" w:rsidRPr="00992C73">
        <w:rPr>
          <w:rFonts w:ascii="Arial" w:eastAsia="Times New Roman" w:hAnsi="Arial" w:cs="Arial"/>
          <w:bCs/>
          <w:i/>
        </w:rPr>
        <w:t>;</w:t>
      </w:r>
    </w:p>
    <w:p w:rsidR="00992C73" w:rsidRPr="00992C73" w:rsidRDefault="006F7569" w:rsidP="00992C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Arial" w:eastAsia="Times New Roman" w:hAnsi="Arial" w:cs="Arial"/>
          <w:bCs/>
          <w:i/>
        </w:rPr>
      </w:pPr>
      <w:r>
        <w:rPr>
          <w:rFonts w:ascii="Arial" w:eastAsia="Times New Roman" w:hAnsi="Arial" w:cs="Arial"/>
          <w:bCs/>
          <w:i/>
        </w:rPr>
        <w:t>I</w:t>
      </w:r>
      <w:r w:rsidR="00992C73" w:rsidRPr="00992C73">
        <w:rPr>
          <w:rFonts w:ascii="Arial" w:eastAsia="Times New Roman" w:hAnsi="Arial" w:cs="Arial"/>
          <w:bCs/>
          <w:i/>
        </w:rPr>
        <w:t>dentify the engagement act</w:t>
      </w:r>
      <w:r w:rsidR="00A9364C" w:rsidRPr="00D77AD6">
        <w:rPr>
          <w:rFonts w:ascii="Arial" w:eastAsia="Times New Roman" w:hAnsi="Arial" w:cs="Arial"/>
          <w:bCs/>
          <w:i/>
        </w:rPr>
        <w:t xml:space="preserve">ivity and engagement competency related to </w:t>
      </w:r>
      <w:r w:rsidR="00992C73" w:rsidRPr="00992C73">
        <w:rPr>
          <w:rFonts w:ascii="Arial" w:eastAsia="Times New Roman" w:hAnsi="Arial" w:cs="Arial"/>
          <w:bCs/>
          <w:i/>
        </w:rPr>
        <w:t>the experience; and</w:t>
      </w:r>
    </w:p>
    <w:p w:rsidR="00992C73" w:rsidRPr="007563C7" w:rsidRDefault="006F7569" w:rsidP="00992C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Arial" w:eastAsia="Times New Roman" w:hAnsi="Arial" w:cs="Arial"/>
          <w:bCs/>
          <w:i/>
        </w:rPr>
      </w:pPr>
      <w:r>
        <w:rPr>
          <w:rFonts w:ascii="Arial" w:eastAsia="MS Mincho" w:hAnsi="Arial" w:cs="Arial"/>
          <w:i/>
        </w:rPr>
        <w:t>I</w:t>
      </w:r>
      <w:r w:rsidR="00992C73" w:rsidRPr="00992C73">
        <w:rPr>
          <w:rFonts w:ascii="Arial" w:eastAsia="MS Mincho" w:hAnsi="Arial" w:cs="Arial"/>
          <w:i/>
        </w:rPr>
        <w:t xml:space="preserve">nclude information on (1) expected supervision by faculty or staff, (2) required hours of engagement, (3) a reflection component that </w:t>
      </w:r>
      <w:r w:rsidR="00A9364C" w:rsidRPr="00D77AD6">
        <w:rPr>
          <w:rFonts w:ascii="Arial" w:eastAsia="MS Mincho" w:hAnsi="Arial" w:cs="Arial"/>
          <w:i/>
        </w:rPr>
        <w:t>help</w:t>
      </w:r>
      <w:r w:rsidR="00992C73" w:rsidRPr="00992C73">
        <w:rPr>
          <w:rFonts w:ascii="Arial" w:eastAsia="MS Mincho" w:hAnsi="Arial" w:cs="Arial"/>
          <w:i/>
        </w:rPr>
        <w:t xml:space="preserve">s students </w:t>
      </w:r>
      <w:r w:rsidR="00A9364C" w:rsidRPr="00D77AD6">
        <w:rPr>
          <w:rFonts w:ascii="Arial" w:eastAsia="MS Mincho" w:hAnsi="Arial" w:cs="Arial"/>
          <w:i/>
        </w:rPr>
        <w:t>find</w:t>
      </w:r>
      <w:r w:rsidR="00992C73" w:rsidRPr="00992C73">
        <w:rPr>
          <w:rFonts w:ascii="Arial" w:eastAsia="MS Mincho" w:hAnsi="Arial" w:cs="Arial"/>
          <w:i/>
        </w:rPr>
        <w:t xml:space="preserve"> meaning </w:t>
      </w:r>
      <w:r w:rsidR="00A9364C" w:rsidRPr="00D77AD6">
        <w:rPr>
          <w:rFonts w:ascii="Arial" w:eastAsia="MS Mincho" w:hAnsi="Arial" w:cs="Arial"/>
          <w:i/>
        </w:rPr>
        <w:t>in</w:t>
      </w:r>
      <w:r w:rsidR="00992C73" w:rsidRPr="00992C73">
        <w:rPr>
          <w:rFonts w:ascii="Arial" w:eastAsia="MS Mincho" w:hAnsi="Arial" w:cs="Arial"/>
          <w:i/>
        </w:rPr>
        <w:t xml:space="preserve"> the experience, and (4</w:t>
      </w:r>
      <w:r w:rsidR="00A9364C" w:rsidRPr="00D77AD6">
        <w:rPr>
          <w:rFonts w:ascii="Arial" w:eastAsia="MS Mincho" w:hAnsi="Arial" w:cs="Arial"/>
          <w:i/>
        </w:rPr>
        <w:t>) the way in which</w:t>
      </w:r>
      <w:r w:rsidR="00992C73" w:rsidRPr="00992C73">
        <w:rPr>
          <w:rFonts w:ascii="Arial" w:eastAsia="MS Mincho" w:hAnsi="Arial" w:cs="Arial"/>
          <w:i/>
        </w:rPr>
        <w:t xml:space="preserve"> the supervisor will verify that the required minimum 45 hours of work and </w:t>
      </w:r>
      <w:r w:rsidR="00A9364C" w:rsidRPr="00D77AD6">
        <w:rPr>
          <w:rFonts w:ascii="Arial" w:eastAsia="MS Mincho" w:hAnsi="Arial" w:cs="Arial"/>
          <w:i/>
        </w:rPr>
        <w:t>the</w:t>
      </w:r>
      <w:r w:rsidR="00992C73" w:rsidRPr="00992C73">
        <w:rPr>
          <w:rFonts w:ascii="Arial" w:eastAsia="MS Mincho" w:hAnsi="Arial" w:cs="Arial"/>
          <w:i/>
        </w:rPr>
        <w:t xml:space="preserve"> reflection piece have been completed by the student.</w:t>
      </w:r>
    </w:p>
    <w:p w:rsidR="007563C7" w:rsidRPr="00992C73" w:rsidRDefault="007563C7" w:rsidP="007563C7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/>
        <w:contextualSpacing/>
        <w:rPr>
          <w:rFonts w:ascii="Arial" w:eastAsia="Times New Roman" w:hAnsi="Arial" w:cs="Arial"/>
          <w:bCs/>
          <w:i/>
        </w:rPr>
      </w:pPr>
    </w:p>
    <w:p w:rsidR="00992C73" w:rsidRPr="00D77AD6" w:rsidRDefault="00992C73" w:rsidP="00992C73">
      <w:pPr>
        <w:rPr>
          <w:rFonts w:ascii="Arial" w:eastAsia="Calibri" w:hAnsi="Arial" w:cs="Arial"/>
          <w:b/>
          <w:i/>
        </w:rPr>
      </w:pPr>
    </w:p>
    <w:p w:rsidR="00992C73" w:rsidRPr="009F1BFC" w:rsidRDefault="006F7569" w:rsidP="00992C73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Rationale</w:t>
      </w:r>
      <w:r w:rsidR="007563C7">
        <w:rPr>
          <w:rFonts w:ascii="Arial" w:eastAsia="Calibri" w:hAnsi="Arial" w:cs="Arial"/>
          <w:b/>
        </w:rPr>
        <w:t xml:space="preserve"> for the new Policies/Guidelines</w:t>
      </w:r>
      <w:r w:rsidR="00992C73" w:rsidRPr="009F1BFC">
        <w:rPr>
          <w:rFonts w:ascii="Arial" w:eastAsia="Calibri" w:hAnsi="Arial" w:cs="Arial"/>
          <w:b/>
        </w:rPr>
        <w:t>:</w:t>
      </w:r>
    </w:p>
    <w:p w:rsidR="00992A07" w:rsidRPr="00D033D3" w:rsidRDefault="00992C73" w:rsidP="00992C73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D033D3">
        <w:rPr>
          <w:rFonts w:ascii="Arial" w:eastAsia="Calibri" w:hAnsi="Arial" w:cs="Arial"/>
        </w:rPr>
        <w:t>The</w:t>
      </w:r>
      <w:r w:rsidR="004B318D" w:rsidRPr="00D033D3">
        <w:rPr>
          <w:rFonts w:ascii="Arial" w:eastAsia="Calibri" w:hAnsi="Arial" w:cs="Arial"/>
        </w:rPr>
        <w:t xml:space="preserve"> Student Engagement Initiative supports the UA’s </w:t>
      </w:r>
      <w:r w:rsidR="004B318D" w:rsidRPr="00D033D3">
        <w:rPr>
          <w:rFonts w:ascii="Arial" w:eastAsia="Calibri" w:hAnsi="Arial" w:cs="Arial"/>
          <w:i/>
        </w:rPr>
        <w:t xml:space="preserve">Never Settle Strategic Plan, </w:t>
      </w:r>
      <w:r w:rsidR="004B318D" w:rsidRPr="00D033D3">
        <w:rPr>
          <w:rFonts w:ascii="Arial" w:eastAsia="Calibri" w:hAnsi="Arial" w:cs="Arial"/>
        </w:rPr>
        <w:t xml:space="preserve">which states:  </w:t>
      </w:r>
      <w:r w:rsidR="004B318D" w:rsidRPr="00D033D3">
        <w:rPr>
          <w:rFonts w:ascii="Arial" w:eastAsia="Calibri" w:hAnsi="Arial" w:cs="Arial"/>
          <w:i/>
        </w:rPr>
        <w:t>through a learning experience tailored to individual students’ needs, the UA will graduate future leaders who have the skills to apply their knowledge and solve the world’s grand challenges</w:t>
      </w:r>
      <w:r w:rsidR="004B318D" w:rsidRPr="00D033D3">
        <w:rPr>
          <w:rFonts w:ascii="Arial" w:eastAsia="Calibri" w:hAnsi="Arial" w:cs="Arial"/>
        </w:rPr>
        <w:t>.</w:t>
      </w:r>
    </w:p>
    <w:p w:rsidR="00992A07" w:rsidRDefault="000A0C2C" w:rsidP="00992C73">
      <w:pPr>
        <w:numPr>
          <w:ilvl w:val="0"/>
          <w:numId w:val="1"/>
        </w:numPr>
        <w:tabs>
          <w:tab w:val="clear" w:pos="720"/>
        </w:tabs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</w:t>
      </w:r>
      <w:r w:rsidR="008E52B8">
        <w:rPr>
          <w:rFonts w:ascii="Arial" w:eastAsia="Calibri" w:hAnsi="Arial" w:cs="Arial"/>
        </w:rPr>
        <w:t>tudents who are engaged</w:t>
      </w:r>
      <w:r w:rsidR="00992A07">
        <w:rPr>
          <w:rFonts w:ascii="Arial" w:eastAsia="Calibri" w:hAnsi="Arial" w:cs="Arial"/>
        </w:rPr>
        <w:t xml:space="preserve"> in university-</w:t>
      </w:r>
      <w:r w:rsidR="008E52B8">
        <w:rPr>
          <w:rFonts w:ascii="Arial" w:eastAsia="Calibri" w:hAnsi="Arial" w:cs="Arial"/>
        </w:rPr>
        <w:t>approv</w:t>
      </w:r>
      <w:r w:rsidR="00992A07">
        <w:rPr>
          <w:rFonts w:ascii="Arial" w:eastAsia="Calibri" w:hAnsi="Arial" w:cs="Arial"/>
        </w:rPr>
        <w:t xml:space="preserve">ed activities beyond the classroom are more likely to </w:t>
      </w:r>
      <w:r w:rsidR="008E52B8">
        <w:rPr>
          <w:rFonts w:ascii="Arial" w:eastAsia="Calibri" w:hAnsi="Arial" w:cs="Arial"/>
        </w:rPr>
        <w:t>complete degree programs than students who simply attend classes.</w:t>
      </w:r>
    </w:p>
    <w:p w:rsidR="00992C73" w:rsidRDefault="004B318D" w:rsidP="00992C73">
      <w:pPr>
        <w:numPr>
          <w:ilvl w:val="0"/>
          <w:numId w:val="1"/>
        </w:numPr>
        <w:tabs>
          <w:tab w:val="clear" w:pos="720"/>
        </w:tabs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By recognizing one or more engaged learning experiences on the academic transcript, the UA </w:t>
      </w:r>
      <w:r w:rsidR="00417975">
        <w:rPr>
          <w:rFonts w:ascii="Arial" w:eastAsia="Calibri" w:hAnsi="Arial" w:cs="Arial"/>
        </w:rPr>
        <w:t>will acknowledge that these</w:t>
      </w:r>
      <w:r>
        <w:rPr>
          <w:rFonts w:ascii="Arial" w:eastAsia="Calibri" w:hAnsi="Arial" w:cs="Arial"/>
        </w:rPr>
        <w:t xml:space="preserve"> </w:t>
      </w:r>
      <w:r w:rsidR="00417975">
        <w:rPr>
          <w:rFonts w:ascii="Arial" w:eastAsia="Calibri" w:hAnsi="Arial" w:cs="Arial"/>
        </w:rPr>
        <w:t xml:space="preserve">hands-on </w:t>
      </w:r>
      <w:r>
        <w:rPr>
          <w:rFonts w:ascii="Arial" w:eastAsia="Calibri" w:hAnsi="Arial" w:cs="Arial"/>
        </w:rPr>
        <w:t xml:space="preserve">experiences </w:t>
      </w:r>
      <w:r w:rsidR="00417975">
        <w:rPr>
          <w:rFonts w:ascii="Arial" w:eastAsia="Calibri" w:hAnsi="Arial" w:cs="Arial"/>
        </w:rPr>
        <w:t>are as credible and valuable in a college education as classroom learning experiences</w:t>
      </w:r>
      <w:r w:rsidR="00992C73" w:rsidRPr="009F1BFC">
        <w:rPr>
          <w:rFonts w:ascii="Arial" w:eastAsia="Calibri" w:hAnsi="Arial" w:cs="Arial"/>
        </w:rPr>
        <w:t>.</w:t>
      </w:r>
    </w:p>
    <w:p w:rsidR="00417975" w:rsidRDefault="00417975" w:rsidP="00992C73">
      <w:pPr>
        <w:numPr>
          <w:ilvl w:val="0"/>
          <w:numId w:val="1"/>
        </w:numPr>
        <w:tabs>
          <w:tab w:val="clear" w:pos="720"/>
        </w:tabs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engagement activities and competencies identified on a student’s academic transcript will be helpful to future employers, as well as g</w:t>
      </w:r>
      <w:r w:rsidR="006F7569">
        <w:rPr>
          <w:rFonts w:ascii="Arial" w:eastAsia="Calibri" w:hAnsi="Arial" w:cs="Arial"/>
        </w:rPr>
        <w:t>raduate/professional school admissions officers</w:t>
      </w:r>
      <w:r>
        <w:rPr>
          <w:rFonts w:ascii="Arial" w:eastAsia="Calibri" w:hAnsi="Arial" w:cs="Arial"/>
        </w:rPr>
        <w:t>.</w:t>
      </w:r>
    </w:p>
    <w:p w:rsidR="007563C7" w:rsidRPr="009F1BFC" w:rsidRDefault="007563C7" w:rsidP="007563C7">
      <w:pPr>
        <w:ind w:left="720"/>
        <w:contextualSpacing/>
        <w:rPr>
          <w:rFonts w:ascii="Arial" w:eastAsia="Calibri" w:hAnsi="Arial" w:cs="Arial"/>
        </w:rPr>
      </w:pPr>
    </w:p>
    <w:p w:rsidR="007563C7" w:rsidRDefault="007563C7" w:rsidP="007563C7">
      <w:pPr>
        <w:rPr>
          <w:rFonts w:ascii="Arial" w:eastAsia="Calibri" w:hAnsi="Arial" w:cs="Arial"/>
        </w:rPr>
      </w:pPr>
      <w:r w:rsidRPr="009F1BFC">
        <w:rPr>
          <w:rFonts w:ascii="Arial" w:eastAsia="Calibri" w:hAnsi="Arial" w:cs="Arial"/>
          <w:b/>
        </w:rPr>
        <w:t xml:space="preserve">Effective </w:t>
      </w:r>
      <w:r>
        <w:rPr>
          <w:rFonts w:ascii="Arial" w:eastAsia="Calibri" w:hAnsi="Arial" w:cs="Arial"/>
          <w:b/>
        </w:rPr>
        <w:t>Term</w:t>
      </w:r>
      <w:r w:rsidRPr="009F1BFC">
        <w:rPr>
          <w:rFonts w:ascii="Arial" w:eastAsia="Calibri" w:hAnsi="Arial" w:cs="Arial"/>
          <w:b/>
        </w:rPr>
        <w:t>:</w:t>
      </w:r>
      <w:r>
        <w:rPr>
          <w:rFonts w:ascii="Arial" w:eastAsia="Calibri" w:hAnsi="Arial" w:cs="Arial"/>
        </w:rPr>
        <w:t xml:space="preserve">   </w:t>
      </w:r>
    </w:p>
    <w:p w:rsidR="007563C7" w:rsidRPr="009F1BFC" w:rsidRDefault="007563C7" w:rsidP="007563C7">
      <w:pPr>
        <w:ind w:firstLine="36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Summer/Fall 2015 for all new and continuing undergraduates, regardless of Catalog year</w:t>
      </w:r>
      <w:r w:rsidRPr="009F1BFC">
        <w:rPr>
          <w:rFonts w:ascii="Arial" w:eastAsia="Calibri" w:hAnsi="Arial" w:cs="Arial"/>
        </w:rPr>
        <w:t xml:space="preserve">  </w:t>
      </w:r>
    </w:p>
    <w:p w:rsidR="00992C73" w:rsidRPr="009F1BFC" w:rsidRDefault="00992C73" w:rsidP="00992C73">
      <w:pPr>
        <w:rPr>
          <w:rFonts w:ascii="Arial" w:eastAsia="Calibri" w:hAnsi="Arial" w:cs="Arial"/>
          <w:b/>
        </w:rPr>
      </w:pPr>
    </w:p>
    <w:p w:rsidR="00B62A8C" w:rsidRDefault="00507353"/>
    <w:sectPr w:rsidR="00B62A8C" w:rsidSect="00717426">
      <w:headerReference w:type="default" r:id="rId12"/>
      <w:pgSz w:w="12240" w:h="15840"/>
      <w:pgMar w:top="1152" w:right="1152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26" w:rsidRDefault="00717426" w:rsidP="00717426">
      <w:r>
        <w:separator/>
      </w:r>
    </w:p>
  </w:endnote>
  <w:endnote w:type="continuationSeparator" w:id="0">
    <w:p w:rsidR="00717426" w:rsidRDefault="00717426" w:rsidP="0071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; color: blac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26" w:rsidRDefault="00717426" w:rsidP="00717426">
      <w:r>
        <w:separator/>
      </w:r>
    </w:p>
  </w:footnote>
  <w:footnote w:type="continuationSeparator" w:id="0">
    <w:p w:rsidR="00717426" w:rsidRDefault="00717426" w:rsidP="00717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8161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17426" w:rsidRDefault="0071742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35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7426" w:rsidRDefault="007174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05975"/>
    <w:multiLevelType w:val="hybridMultilevel"/>
    <w:tmpl w:val="6C569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07A99"/>
    <w:multiLevelType w:val="hybridMultilevel"/>
    <w:tmpl w:val="36908E5A"/>
    <w:lvl w:ilvl="0" w:tplc="B1F0E8B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D0DD3"/>
    <w:multiLevelType w:val="hybridMultilevel"/>
    <w:tmpl w:val="CF8840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F5BC9"/>
    <w:multiLevelType w:val="hybridMultilevel"/>
    <w:tmpl w:val="1A5CA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D97079"/>
    <w:multiLevelType w:val="multilevel"/>
    <w:tmpl w:val="27C4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73"/>
    <w:rsid w:val="000A0C2C"/>
    <w:rsid w:val="002E5D5F"/>
    <w:rsid w:val="002E7F7B"/>
    <w:rsid w:val="00370E81"/>
    <w:rsid w:val="00417975"/>
    <w:rsid w:val="004815A3"/>
    <w:rsid w:val="004B318D"/>
    <w:rsid w:val="00507353"/>
    <w:rsid w:val="005F2AE3"/>
    <w:rsid w:val="006F7569"/>
    <w:rsid w:val="00717426"/>
    <w:rsid w:val="007563C7"/>
    <w:rsid w:val="0078261E"/>
    <w:rsid w:val="008E52B8"/>
    <w:rsid w:val="00992A07"/>
    <w:rsid w:val="00992C73"/>
    <w:rsid w:val="00A67BE1"/>
    <w:rsid w:val="00A9364C"/>
    <w:rsid w:val="00B25872"/>
    <w:rsid w:val="00D033D3"/>
    <w:rsid w:val="00D77AD6"/>
    <w:rsid w:val="00E345A3"/>
    <w:rsid w:val="00EB29B2"/>
    <w:rsid w:val="00FB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C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7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426"/>
  </w:style>
  <w:style w:type="paragraph" w:styleId="Footer">
    <w:name w:val="footer"/>
    <w:basedOn w:val="Normal"/>
    <w:link w:val="FooterChar"/>
    <w:uiPriority w:val="99"/>
    <w:unhideWhenUsed/>
    <w:rsid w:val="00717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426"/>
  </w:style>
  <w:style w:type="paragraph" w:styleId="BalloonText">
    <w:name w:val="Balloon Text"/>
    <w:basedOn w:val="Normal"/>
    <w:link w:val="BalloonTextChar"/>
    <w:uiPriority w:val="99"/>
    <w:semiHidden/>
    <w:unhideWhenUsed/>
    <w:rsid w:val="002E7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C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7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426"/>
  </w:style>
  <w:style w:type="paragraph" w:styleId="Footer">
    <w:name w:val="footer"/>
    <w:basedOn w:val="Normal"/>
    <w:link w:val="FooterChar"/>
    <w:uiPriority w:val="99"/>
    <w:unhideWhenUsed/>
    <w:rsid w:val="00717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426"/>
  </w:style>
  <w:style w:type="paragraph" w:styleId="BalloonText">
    <w:name w:val="Balloon Text"/>
    <w:basedOn w:val="Normal"/>
    <w:link w:val="BalloonTextChar"/>
    <w:uiPriority w:val="99"/>
    <w:semiHidden/>
    <w:unhideWhenUsed/>
    <w:rsid w:val="002E7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cy.arizona.edu/sites/default/files/Undergraduate%20Course%20Syllabus%20Policy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atalog.arizona.edu/2014-15/policies/grade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atalog.arizona.edu/2014-15/policies/grad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talog.arizona.edu/2014-15/policies/grade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Pardee</dc:creator>
  <cp:lastModifiedBy>Celeste Pardee</cp:lastModifiedBy>
  <cp:revision>2</cp:revision>
  <cp:lastPrinted>2015-04-07T22:25:00Z</cp:lastPrinted>
  <dcterms:created xsi:type="dcterms:W3CDTF">2015-05-12T21:59:00Z</dcterms:created>
  <dcterms:modified xsi:type="dcterms:W3CDTF">2015-05-12T21:59:00Z</dcterms:modified>
</cp:coreProperties>
</file>