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89" w:rsidRDefault="00DF32AF" w:rsidP="00DF32AF">
      <w:pPr>
        <w:ind w:firstLine="360"/>
        <w:jc w:val="center"/>
        <w:rPr>
          <w:rFonts w:ascii="Arial" w:eastAsia="Calibri" w:hAnsi="Arial" w:cs="Arial"/>
          <w:b/>
        </w:rPr>
      </w:pPr>
      <w:r w:rsidRPr="00DF32AF">
        <w:rPr>
          <w:rFonts w:ascii="Arial" w:eastAsia="Calibri" w:hAnsi="Arial" w:cs="Arial"/>
          <w:b/>
        </w:rPr>
        <w:t>Simplification of</w:t>
      </w:r>
      <w:r w:rsidR="00473A62" w:rsidRPr="00DF32AF">
        <w:rPr>
          <w:rFonts w:ascii="Arial" w:eastAsia="Calibri" w:hAnsi="Arial" w:cs="Arial"/>
          <w:b/>
        </w:rPr>
        <w:t xml:space="preserve"> General Education</w:t>
      </w:r>
      <w:r w:rsidR="00161F89" w:rsidRPr="00DF32AF">
        <w:rPr>
          <w:rFonts w:ascii="Arial" w:eastAsia="Calibri" w:hAnsi="Arial" w:cs="Arial"/>
          <w:b/>
        </w:rPr>
        <w:t>–Tier One Study Area Requirements</w:t>
      </w:r>
    </w:p>
    <w:p w:rsidR="00DF32AF" w:rsidRDefault="00DF32AF" w:rsidP="00DF32AF">
      <w:pPr>
        <w:ind w:firstLine="360"/>
        <w:jc w:val="center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Approved by the Faculty Senate, 5/11</w:t>
      </w:r>
      <w:r>
        <w:rPr>
          <w:rFonts w:ascii="Arial" w:eastAsia="Calibri" w:hAnsi="Arial" w:cs="Arial"/>
          <w:i/>
        </w:rPr>
        <w:t>/15</w:t>
      </w:r>
    </w:p>
    <w:p w:rsidR="00DF32AF" w:rsidRPr="00DF32AF" w:rsidRDefault="00DF32AF" w:rsidP="00DF32AF">
      <w:pPr>
        <w:ind w:firstLine="360"/>
        <w:jc w:val="center"/>
        <w:rPr>
          <w:rFonts w:ascii="Arial" w:eastAsia="Calibri" w:hAnsi="Arial" w:cs="Arial"/>
          <w:b/>
        </w:rPr>
      </w:pPr>
    </w:p>
    <w:p w:rsidR="00161F89" w:rsidRPr="009F1BFC" w:rsidRDefault="00161F89" w:rsidP="00161F89">
      <w:pPr>
        <w:rPr>
          <w:rFonts w:ascii="Arial" w:eastAsia="Calibri" w:hAnsi="Arial" w:cs="Arial"/>
          <w:b/>
        </w:rPr>
      </w:pPr>
    </w:p>
    <w:p w:rsidR="00161F89" w:rsidRPr="00161F89" w:rsidRDefault="00DF32AF" w:rsidP="00161F89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Revised Requirements</w:t>
      </w:r>
      <w:r w:rsidR="00161F89" w:rsidRPr="00161F89">
        <w:rPr>
          <w:rFonts w:ascii="Arial" w:eastAsia="Calibri" w:hAnsi="Arial" w:cs="Arial"/>
          <w:b/>
        </w:rPr>
        <w:t xml:space="preserve"> </w:t>
      </w:r>
      <w:r w:rsidR="00161F89" w:rsidRPr="00161F89">
        <w:rPr>
          <w:rFonts w:ascii="Arial" w:eastAsia="Calibri" w:hAnsi="Arial" w:cs="Arial"/>
        </w:rPr>
        <w:t>(see accompanying diagram):</w:t>
      </w:r>
    </w:p>
    <w:p w:rsidR="00161F89" w:rsidRPr="00161F89" w:rsidRDefault="00161F89" w:rsidP="00161F89">
      <w:pPr>
        <w:numPr>
          <w:ilvl w:val="0"/>
          <w:numId w:val="2"/>
        </w:numPr>
        <w:ind w:left="720"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>The three Tier One Study Areas—Individuals/Societies, Traditions/Cultures, and Natural Sciences—</w:t>
      </w:r>
      <w:r w:rsidR="00DF32AF">
        <w:rPr>
          <w:rFonts w:ascii="Arial" w:eastAsia="Calibri" w:hAnsi="Arial" w:cs="Arial"/>
        </w:rPr>
        <w:t>will</w:t>
      </w:r>
      <w:r w:rsidRPr="00161F89">
        <w:rPr>
          <w:rFonts w:ascii="Arial" w:eastAsia="Calibri" w:hAnsi="Arial" w:cs="Arial"/>
        </w:rPr>
        <w:t xml:space="preserve"> be fulfilled with two courses, regardless of the category (designated by A, B, C, D) within each Study Area.</w:t>
      </w:r>
    </w:p>
    <w:p w:rsidR="00161F89" w:rsidRPr="00161F89" w:rsidRDefault="00161F89" w:rsidP="00161F89">
      <w:pPr>
        <w:numPr>
          <w:ilvl w:val="0"/>
          <w:numId w:val="2"/>
        </w:numPr>
        <w:ind w:left="720"/>
        <w:rPr>
          <w:rFonts w:ascii="Arial" w:eastAsia="Calibri" w:hAnsi="Arial" w:cs="Arial"/>
        </w:rPr>
      </w:pPr>
      <w:r w:rsidRPr="00DF32AF">
        <w:rPr>
          <w:rFonts w:ascii="Arial" w:eastAsia="Calibri" w:hAnsi="Arial" w:cs="Arial"/>
        </w:rPr>
        <w:t xml:space="preserve">In other words, students </w:t>
      </w:r>
      <w:r w:rsidR="00DF32AF" w:rsidRPr="00DF32AF">
        <w:rPr>
          <w:rFonts w:ascii="Arial" w:eastAsia="Calibri" w:hAnsi="Arial" w:cs="Arial"/>
        </w:rPr>
        <w:t>will</w:t>
      </w:r>
      <w:r w:rsidRPr="00DF32AF">
        <w:rPr>
          <w:rFonts w:ascii="Arial" w:eastAsia="Calibri" w:hAnsi="Arial" w:cs="Arial"/>
        </w:rPr>
        <w:t xml:space="preserve"> satisfy the Tier One requirements by taking any two</w:t>
      </w:r>
      <w:r w:rsidRPr="00161F89">
        <w:rPr>
          <w:rFonts w:ascii="Arial" w:eastAsia="Calibri" w:hAnsi="Arial" w:cs="Arial"/>
        </w:rPr>
        <w:t xml:space="preserve"> 150 courses, any two 160 courses, and any two 170 courses.</w:t>
      </w:r>
    </w:p>
    <w:p w:rsidR="00161F89" w:rsidRPr="00161F89" w:rsidRDefault="00161F89" w:rsidP="00161F89">
      <w:pPr>
        <w:numPr>
          <w:ilvl w:val="0"/>
          <w:numId w:val="2"/>
        </w:numPr>
        <w:ind w:left="720"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 xml:space="preserve">The current course numbers (150, 160, </w:t>
      </w:r>
      <w:proofErr w:type="gramStart"/>
      <w:r w:rsidRPr="00161F89">
        <w:rPr>
          <w:rFonts w:ascii="Arial" w:eastAsia="Calibri" w:hAnsi="Arial" w:cs="Arial"/>
        </w:rPr>
        <w:t>170</w:t>
      </w:r>
      <w:proofErr w:type="gramEnd"/>
      <w:r w:rsidRPr="00161F89">
        <w:rPr>
          <w:rFonts w:ascii="Arial" w:eastAsia="Calibri" w:hAnsi="Arial" w:cs="Arial"/>
        </w:rPr>
        <w:t xml:space="preserve">) and category letters (A, B, C, D) </w:t>
      </w:r>
      <w:r w:rsidR="00DF32AF">
        <w:rPr>
          <w:rFonts w:ascii="Arial" w:eastAsia="Calibri" w:hAnsi="Arial" w:cs="Arial"/>
        </w:rPr>
        <w:t>will</w:t>
      </w:r>
      <w:r w:rsidRPr="00161F89">
        <w:rPr>
          <w:rFonts w:ascii="Arial" w:eastAsia="Calibri" w:hAnsi="Arial" w:cs="Arial"/>
        </w:rPr>
        <w:t xml:space="preserve"> remain for </w:t>
      </w:r>
      <w:r w:rsidR="00943209">
        <w:rPr>
          <w:rFonts w:ascii="Arial" w:eastAsia="Calibri" w:hAnsi="Arial" w:cs="Arial"/>
        </w:rPr>
        <w:t xml:space="preserve">the </w:t>
      </w:r>
      <w:r w:rsidR="00473A62">
        <w:rPr>
          <w:rFonts w:ascii="Arial" w:eastAsia="Calibri" w:hAnsi="Arial" w:cs="Arial"/>
        </w:rPr>
        <w:t>Course Catalog</w:t>
      </w:r>
      <w:r w:rsidRPr="00161F89">
        <w:rPr>
          <w:rFonts w:ascii="Arial" w:eastAsia="Calibri" w:hAnsi="Arial" w:cs="Arial"/>
        </w:rPr>
        <w:t xml:space="preserve"> and UAccess system identification purposes.</w:t>
      </w:r>
    </w:p>
    <w:p w:rsidR="00161F89" w:rsidRPr="00161F89" w:rsidRDefault="00161F89" w:rsidP="00161F89">
      <w:pPr>
        <w:ind w:left="720" w:hanging="360"/>
        <w:rPr>
          <w:rFonts w:ascii="Arial" w:eastAsia="Calibri" w:hAnsi="Arial" w:cs="Arial"/>
        </w:rPr>
      </w:pPr>
    </w:p>
    <w:p w:rsidR="00913236" w:rsidRDefault="00913236" w:rsidP="00161F89">
      <w:pPr>
        <w:rPr>
          <w:rFonts w:ascii="Arial" w:eastAsia="Calibri" w:hAnsi="Arial" w:cs="Arial"/>
          <w:b/>
        </w:rPr>
      </w:pPr>
    </w:p>
    <w:p w:rsidR="00161F89" w:rsidRDefault="00DF32AF" w:rsidP="00161F89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Approv</w:t>
      </w:r>
      <w:r w:rsidR="00161F89">
        <w:rPr>
          <w:rFonts w:ascii="Arial" w:eastAsia="Calibri" w:hAnsi="Arial" w:cs="Arial"/>
          <w:b/>
        </w:rPr>
        <w:t>ed Revision to the Catalog Policy,</w:t>
      </w:r>
      <w:r w:rsidR="00161F89" w:rsidRPr="00161F89">
        <w:t xml:space="preserve"> </w:t>
      </w:r>
      <w:hyperlink r:id="rId8" w:anchor="tier1" w:history="1">
        <w:r w:rsidR="00161F89" w:rsidRPr="00D14CA0">
          <w:rPr>
            <w:rStyle w:val="Hyperlink"/>
            <w:rFonts w:ascii="Arial" w:eastAsia="Calibri" w:hAnsi="Arial" w:cs="Arial"/>
          </w:rPr>
          <w:t>http://catalog.arizona.edu/2014-15/gened_tiers.html#tier1</w:t>
        </w:r>
      </w:hyperlink>
      <w:r w:rsidR="00161F89">
        <w:rPr>
          <w:rFonts w:ascii="Arial" w:eastAsia="Calibri" w:hAnsi="Arial" w:cs="Arial"/>
        </w:rPr>
        <w:t xml:space="preserve"> (</w:t>
      </w:r>
      <w:r w:rsidR="00943209">
        <w:rPr>
          <w:rFonts w:ascii="Arial" w:eastAsia="Calibri" w:hAnsi="Arial" w:cs="Arial"/>
          <w:color w:val="FF0000"/>
        </w:rPr>
        <w:t>change</w:t>
      </w:r>
      <w:r w:rsidR="00161F89" w:rsidRPr="00943209">
        <w:rPr>
          <w:rFonts w:ascii="Arial" w:eastAsia="Calibri" w:hAnsi="Arial" w:cs="Arial"/>
          <w:color w:val="FF0000"/>
        </w:rPr>
        <w:t>s in red font</w:t>
      </w:r>
      <w:r w:rsidR="00161F89">
        <w:rPr>
          <w:rFonts w:ascii="Arial" w:eastAsia="Calibri" w:hAnsi="Arial" w:cs="Arial"/>
        </w:rPr>
        <w:t>)</w:t>
      </w:r>
    </w:p>
    <w:p w:rsidR="00161F89" w:rsidRPr="009F1BFC" w:rsidRDefault="00161F89" w:rsidP="00161F89">
      <w:pPr>
        <w:rPr>
          <w:rFonts w:ascii="Arial" w:eastAsia="Calibri" w:hAnsi="Arial" w:cs="Arial"/>
          <w:i/>
        </w:rPr>
      </w:pPr>
    </w:p>
    <w:p w:rsidR="00161F89" w:rsidRPr="00161F89" w:rsidRDefault="00161F89" w:rsidP="00161F89">
      <w:pPr>
        <w:rPr>
          <w:rFonts w:ascii="Arial" w:eastAsia="Calibri" w:hAnsi="Arial" w:cs="Arial"/>
          <w:b/>
          <w:bCs/>
          <w:i/>
        </w:rPr>
      </w:pPr>
      <w:r w:rsidRPr="00161F89">
        <w:rPr>
          <w:rFonts w:ascii="Arial" w:eastAsia="Calibri" w:hAnsi="Arial" w:cs="Arial"/>
          <w:b/>
          <w:bCs/>
          <w:i/>
        </w:rPr>
        <w:t xml:space="preserve">Tier One </w:t>
      </w:r>
      <w:proofErr w:type="gramStart"/>
      <w:r w:rsidRPr="00161F89">
        <w:rPr>
          <w:rFonts w:ascii="Arial" w:eastAsia="Calibri" w:hAnsi="Arial" w:cs="Arial"/>
          <w:b/>
          <w:bCs/>
          <w:i/>
        </w:rPr>
        <w:t>Requirements</w:t>
      </w:r>
      <w:proofErr w:type="gramEnd"/>
      <w:r w:rsidRPr="00161F89">
        <w:rPr>
          <w:rFonts w:ascii="Arial" w:eastAsia="Calibri" w:hAnsi="Arial" w:cs="Arial"/>
          <w:b/>
          <w:bCs/>
          <w:i/>
        </w:rPr>
        <w:t>:</w:t>
      </w:r>
    </w:p>
    <w:p w:rsidR="00161F89" w:rsidRDefault="00161F89" w:rsidP="00161F89">
      <w:pPr>
        <w:ind w:left="360"/>
        <w:rPr>
          <w:rFonts w:ascii="Arial" w:eastAsia="Calibri" w:hAnsi="Arial" w:cs="Arial"/>
          <w:i/>
        </w:rPr>
      </w:pPr>
      <w:r w:rsidRPr="00161F89">
        <w:rPr>
          <w:rFonts w:ascii="Arial" w:eastAsia="Calibri" w:hAnsi="Arial" w:cs="Arial"/>
          <w:i/>
        </w:rPr>
        <w:t xml:space="preserve">Tier One courses introduce students to fundamental issues and concepts pertinent to three study areas.  Courses in each study area have a department prefix but the same number, as shown below.  To complete each study area, students must take two courses </w:t>
      </w:r>
      <w:r w:rsidRPr="00161F89">
        <w:rPr>
          <w:rFonts w:ascii="Arial" w:eastAsia="Calibri" w:hAnsi="Arial" w:cs="Arial"/>
          <w:i/>
          <w:strike/>
          <w:color w:val="FF0000"/>
        </w:rPr>
        <w:t xml:space="preserve">in different subareas or </w:t>
      </w:r>
      <w:r w:rsidRPr="00161F89">
        <w:rPr>
          <w:rFonts w:ascii="Arial" w:eastAsia="Calibri" w:hAnsi="Arial" w:cs="Arial"/>
          <w:bCs/>
          <w:i/>
          <w:strike/>
          <w:color w:val="FF0000"/>
        </w:rPr>
        <w:t>categories</w:t>
      </w:r>
      <w:r w:rsidRPr="00161F89">
        <w:rPr>
          <w:rFonts w:ascii="Arial" w:eastAsia="Calibri" w:hAnsi="Arial" w:cs="Arial"/>
          <w:i/>
          <w:strike/>
          <w:color w:val="FF0000"/>
        </w:rPr>
        <w:t>, designated by a letter (A, B, C) following the 3-digit course number.</w:t>
      </w:r>
      <w:r w:rsidRPr="00161F89">
        <w:rPr>
          <w:rFonts w:ascii="Arial" w:eastAsia="Calibri" w:hAnsi="Arial" w:cs="Arial"/>
          <w:i/>
          <w:color w:val="FF0000"/>
        </w:rPr>
        <w:t xml:space="preserve"> </w:t>
      </w:r>
    </w:p>
    <w:p w:rsidR="00161F89" w:rsidRPr="00161F89" w:rsidRDefault="00161F89" w:rsidP="00161F89">
      <w:pPr>
        <w:ind w:left="360"/>
        <w:rPr>
          <w:rFonts w:ascii="Arial" w:eastAsia="Calibri" w:hAnsi="Arial" w:cs="Arial"/>
          <w:i/>
        </w:rPr>
      </w:pPr>
    </w:p>
    <w:tbl>
      <w:tblPr>
        <w:tblW w:w="85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5096"/>
      </w:tblGrid>
      <w:tr w:rsidR="00161F89" w:rsidRPr="00161F89" w:rsidTr="00943209">
        <w:trPr>
          <w:tblCellSpacing w:w="0" w:type="dxa"/>
          <w:jc w:val="center"/>
        </w:trPr>
        <w:tc>
          <w:tcPr>
            <w:tcW w:w="3482" w:type="dxa"/>
            <w:hideMark/>
          </w:tcPr>
          <w:p w:rsidR="00161F89" w:rsidRPr="00161F89" w:rsidRDefault="00161F89" w:rsidP="00161F89">
            <w:pPr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bCs/>
                <w:i/>
                <w:u w:val="single"/>
              </w:rPr>
              <w:t>Tier One Study Areas:</w:t>
            </w:r>
            <w:r w:rsidRPr="00161F89">
              <w:rPr>
                <w:rFonts w:ascii="Arial" w:eastAsia="Calibri" w:hAnsi="Arial" w:cs="Arial"/>
                <w:i/>
              </w:rPr>
              <w:t xml:space="preserve"> </w:t>
            </w:r>
          </w:p>
        </w:tc>
        <w:tc>
          <w:tcPr>
            <w:tcW w:w="5096" w:type="dxa"/>
            <w:hideMark/>
          </w:tcPr>
          <w:p w:rsidR="00161F89" w:rsidRPr="00161F89" w:rsidRDefault="00161F89" w:rsidP="00943209">
            <w:pPr>
              <w:ind w:firstLine="411"/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bCs/>
                <w:i/>
                <w:u w:val="single"/>
              </w:rPr>
              <w:t>Required Breadth:</w:t>
            </w:r>
            <w:r w:rsidRPr="00161F89">
              <w:rPr>
                <w:rFonts w:ascii="Arial" w:eastAsia="Calibri" w:hAnsi="Arial" w:cs="Arial"/>
                <w:i/>
              </w:rPr>
              <w:t xml:space="preserve"> </w:t>
            </w:r>
          </w:p>
        </w:tc>
      </w:tr>
      <w:tr w:rsidR="00161F89" w:rsidRPr="00161F89" w:rsidTr="00943209">
        <w:trPr>
          <w:tblCellSpacing w:w="0" w:type="dxa"/>
          <w:jc w:val="center"/>
        </w:trPr>
        <w:tc>
          <w:tcPr>
            <w:tcW w:w="3482" w:type="dxa"/>
            <w:hideMark/>
          </w:tcPr>
          <w:p w:rsidR="00161F89" w:rsidRPr="00161F89" w:rsidRDefault="00161F89" w:rsidP="00161F89">
            <w:pPr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i/>
              </w:rPr>
              <w:t>Individuals &amp; Societies (xxxx</w:t>
            </w:r>
            <w:r w:rsidRPr="00161F89">
              <w:rPr>
                <w:rFonts w:ascii="Arial" w:eastAsia="Calibri" w:hAnsi="Arial" w:cs="Arial"/>
                <w:bCs/>
                <w:i/>
              </w:rPr>
              <w:t>150</w:t>
            </w:r>
            <w:r w:rsidRPr="00161F89">
              <w:rPr>
                <w:rFonts w:ascii="Arial" w:eastAsia="Calibri" w:hAnsi="Arial" w:cs="Arial"/>
                <w:i/>
              </w:rPr>
              <w:t>)</w:t>
            </w:r>
          </w:p>
        </w:tc>
        <w:tc>
          <w:tcPr>
            <w:tcW w:w="5096" w:type="dxa"/>
            <w:hideMark/>
          </w:tcPr>
          <w:p w:rsidR="00161F89" w:rsidRPr="00161F89" w:rsidRDefault="00161F89" w:rsidP="00161F89">
            <w:pPr>
              <w:ind w:left="360"/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i/>
              </w:rPr>
              <w:t xml:space="preserve">2 - </w:t>
            </w:r>
            <w:r w:rsidRPr="00161F89">
              <w:rPr>
                <w:rFonts w:ascii="Arial" w:eastAsia="Calibri" w:hAnsi="Arial" w:cs="Arial"/>
                <w:bCs/>
                <w:i/>
              </w:rPr>
              <w:t xml:space="preserve">150 </w:t>
            </w:r>
            <w:r w:rsidRPr="00161F89">
              <w:rPr>
                <w:rFonts w:ascii="Arial" w:eastAsia="Calibri" w:hAnsi="Arial" w:cs="Arial"/>
                <w:i/>
              </w:rPr>
              <w:t xml:space="preserve">courses </w:t>
            </w:r>
            <w:r w:rsidRPr="00161F89">
              <w:rPr>
                <w:rFonts w:ascii="Arial" w:eastAsia="Calibri" w:hAnsi="Arial" w:cs="Arial"/>
                <w:i/>
                <w:strike/>
                <w:color w:val="FF0000"/>
              </w:rPr>
              <w:t>with different letters (A, B, C)</w:t>
            </w:r>
          </w:p>
        </w:tc>
      </w:tr>
      <w:tr w:rsidR="00161F89" w:rsidRPr="00161F89" w:rsidTr="00943209">
        <w:trPr>
          <w:tblCellSpacing w:w="0" w:type="dxa"/>
          <w:jc w:val="center"/>
        </w:trPr>
        <w:tc>
          <w:tcPr>
            <w:tcW w:w="3482" w:type="dxa"/>
            <w:noWrap/>
            <w:hideMark/>
          </w:tcPr>
          <w:p w:rsidR="00161F89" w:rsidRPr="00161F89" w:rsidRDefault="00161F89" w:rsidP="00161F89">
            <w:pPr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i/>
              </w:rPr>
              <w:t>Traditions &amp; Cultures (xxxx</w:t>
            </w:r>
            <w:r w:rsidRPr="00161F89">
              <w:rPr>
                <w:rFonts w:ascii="Arial" w:eastAsia="Calibri" w:hAnsi="Arial" w:cs="Arial"/>
                <w:bCs/>
                <w:i/>
              </w:rPr>
              <w:t>160</w:t>
            </w:r>
            <w:r w:rsidRPr="00161F89">
              <w:rPr>
                <w:rFonts w:ascii="Arial" w:eastAsia="Calibri" w:hAnsi="Arial" w:cs="Arial"/>
                <w:i/>
              </w:rPr>
              <w:t>)</w:t>
            </w:r>
          </w:p>
        </w:tc>
        <w:tc>
          <w:tcPr>
            <w:tcW w:w="5096" w:type="dxa"/>
            <w:hideMark/>
          </w:tcPr>
          <w:p w:rsidR="00161F89" w:rsidRPr="00161F89" w:rsidRDefault="00161F89" w:rsidP="00161F89">
            <w:pPr>
              <w:ind w:left="360"/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i/>
              </w:rPr>
              <w:t xml:space="preserve">2 - </w:t>
            </w:r>
            <w:r w:rsidRPr="00161F89">
              <w:rPr>
                <w:rFonts w:ascii="Arial" w:eastAsia="Calibri" w:hAnsi="Arial" w:cs="Arial"/>
                <w:bCs/>
                <w:i/>
              </w:rPr>
              <w:t>160</w:t>
            </w:r>
            <w:r w:rsidRPr="00161F89">
              <w:rPr>
                <w:rFonts w:ascii="Arial" w:eastAsia="Calibri" w:hAnsi="Arial" w:cs="Arial"/>
                <w:i/>
              </w:rPr>
              <w:t xml:space="preserve"> courses </w:t>
            </w:r>
            <w:r w:rsidRPr="00161F89">
              <w:rPr>
                <w:rFonts w:ascii="Arial" w:eastAsia="Calibri" w:hAnsi="Arial" w:cs="Arial"/>
                <w:i/>
                <w:strike/>
                <w:color w:val="FF0000"/>
              </w:rPr>
              <w:t>with different letters (A, B, C, D)</w:t>
            </w:r>
          </w:p>
        </w:tc>
      </w:tr>
      <w:tr w:rsidR="00161F89" w:rsidRPr="00161F89" w:rsidTr="00943209">
        <w:trPr>
          <w:tblCellSpacing w:w="0" w:type="dxa"/>
          <w:jc w:val="center"/>
        </w:trPr>
        <w:tc>
          <w:tcPr>
            <w:tcW w:w="3482" w:type="dxa"/>
            <w:hideMark/>
          </w:tcPr>
          <w:p w:rsidR="00161F89" w:rsidRPr="00161F89" w:rsidRDefault="00161F89" w:rsidP="00161F89">
            <w:pPr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i/>
              </w:rPr>
              <w:t>Natural Sciences (xxxx</w:t>
            </w:r>
            <w:r w:rsidRPr="00161F89">
              <w:rPr>
                <w:rFonts w:ascii="Arial" w:eastAsia="Calibri" w:hAnsi="Arial" w:cs="Arial"/>
                <w:bCs/>
                <w:i/>
              </w:rPr>
              <w:t>170</w:t>
            </w:r>
            <w:r w:rsidRPr="00161F89">
              <w:rPr>
                <w:rFonts w:ascii="Arial" w:eastAsia="Calibri" w:hAnsi="Arial" w:cs="Arial"/>
                <w:i/>
              </w:rPr>
              <w:t>)</w:t>
            </w:r>
          </w:p>
        </w:tc>
        <w:tc>
          <w:tcPr>
            <w:tcW w:w="5096" w:type="dxa"/>
            <w:hideMark/>
          </w:tcPr>
          <w:p w:rsidR="00161F89" w:rsidRPr="00161F89" w:rsidRDefault="00161F89" w:rsidP="00161F89">
            <w:pPr>
              <w:ind w:left="360"/>
              <w:rPr>
                <w:rFonts w:ascii="Arial" w:eastAsia="Calibri" w:hAnsi="Arial" w:cs="Arial"/>
                <w:i/>
                <w:u w:val="single"/>
              </w:rPr>
            </w:pPr>
            <w:r w:rsidRPr="00161F89">
              <w:rPr>
                <w:rFonts w:ascii="Arial" w:eastAsia="Calibri" w:hAnsi="Arial" w:cs="Arial"/>
                <w:i/>
                <w:u w:val="single"/>
              </w:rPr>
              <w:t xml:space="preserve">2 - </w:t>
            </w:r>
            <w:r w:rsidRPr="00161F89">
              <w:rPr>
                <w:rFonts w:ascii="Arial" w:eastAsia="Calibri" w:hAnsi="Arial" w:cs="Arial"/>
                <w:bCs/>
                <w:i/>
                <w:u w:val="single"/>
              </w:rPr>
              <w:t>170</w:t>
            </w:r>
            <w:r w:rsidRPr="00161F89">
              <w:rPr>
                <w:rFonts w:ascii="Arial" w:eastAsia="Calibri" w:hAnsi="Arial" w:cs="Arial"/>
                <w:i/>
                <w:u w:val="single"/>
              </w:rPr>
              <w:t xml:space="preserve"> courses </w:t>
            </w:r>
            <w:r w:rsidRPr="00161F89">
              <w:rPr>
                <w:rFonts w:ascii="Arial" w:eastAsia="Calibri" w:hAnsi="Arial" w:cs="Arial"/>
                <w:i/>
                <w:strike/>
                <w:color w:val="FF0000"/>
                <w:u w:val="single"/>
              </w:rPr>
              <w:t>with different letters (A, B, C)</w:t>
            </w:r>
          </w:p>
        </w:tc>
      </w:tr>
      <w:tr w:rsidR="00161F89" w:rsidRPr="00161F89" w:rsidTr="00943209">
        <w:trPr>
          <w:tblCellSpacing w:w="0" w:type="dxa"/>
          <w:jc w:val="center"/>
        </w:trPr>
        <w:tc>
          <w:tcPr>
            <w:tcW w:w="3482" w:type="dxa"/>
            <w:vAlign w:val="center"/>
            <w:hideMark/>
          </w:tcPr>
          <w:p w:rsidR="00161F89" w:rsidRPr="00161F89" w:rsidRDefault="00161F89" w:rsidP="00161F89">
            <w:pPr>
              <w:ind w:left="360"/>
              <w:rPr>
                <w:rFonts w:ascii="Arial" w:eastAsia="Calibri" w:hAnsi="Arial" w:cs="Arial"/>
                <w:bCs/>
                <w:i/>
              </w:rPr>
            </w:pPr>
            <w:r w:rsidRPr="00161F89">
              <w:rPr>
                <w:rFonts w:ascii="Arial" w:eastAsia="Calibri" w:hAnsi="Arial" w:cs="Arial"/>
                <w:bCs/>
                <w:i/>
              </w:rPr>
              <w:t> </w:t>
            </w:r>
          </w:p>
        </w:tc>
        <w:tc>
          <w:tcPr>
            <w:tcW w:w="5096" w:type="dxa"/>
            <w:hideMark/>
          </w:tcPr>
          <w:p w:rsidR="00161F89" w:rsidRPr="00161F89" w:rsidRDefault="00161F89" w:rsidP="00161F89">
            <w:pPr>
              <w:ind w:left="360"/>
              <w:rPr>
                <w:rFonts w:ascii="Arial" w:eastAsia="Calibri" w:hAnsi="Arial" w:cs="Arial"/>
                <w:i/>
              </w:rPr>
            </w:pPr>
            <w:r w:rsidRPr="00161F89">
              <w:rPr>
                <w:rFonts w:ascii="Arial" w:eastAsia="Calibri" w:hAnsi="Arial" w:cs="Arial"/>
                <w:bCs/>
                <w:i/>
              </w:rPr>
              <w:t>Total:   6 courses</w:t>
            </w:r>
          </w:p>
        </w:tc>
      </w:tr>
    </w:tbl>
    <w:p w:rsidR="00161F89" w:rsidRPr="00161F89" w:rsidRDefault="00161F89" w:rsidP="00161F89">
      <w:pPr>
        <w:ind w:left="360"/>
        <w:rPr>
          <w:rFonts w:ascii="Arial" w:eastAsia="Calibri" w:hAnsi="Arial" w:cs="Arial"/>
          <w:i/>
        </w:rPr>
      </w:pPr>
      <w:r w:rsidRPr="00943209">
        <w:rPr>
          <w:rFonts w:ascii="Arial" w:eastAsia="Calibri" w:hAnsi="Arial" w:cs="Arial"/>
          <w:i/>
          <w:strike/>
          <w:color w:val="FF0000"/>
        </w:rPr>
        <w:t>The first course taken in a study area category (e.g., ARC 160D1) will count toward the Tier One requirement; a second course taken in the same study area category - identical course number and letter (e.g., JUS 160D1) - will count as general elective credit.</w:t>
      </w:r>
      <w:r w:rsidRPr="00161F89">
        <w:rPr>
          <w:rFonts w:ascii="Arial" w:eastAsia="Calibri" w:hAnsi="Arial" w:cs="Arial"/>
          <w:i/>
        </w:rPr>
        <w:t xml:space="preserve">  </w:t>
      </w:r>
      <w:proofErr w:type="gramStart"/>
      <w:r w:rsidRPr="00161F89">
        <w:rPr>
          <w:rFonts w:ascii="Arial" w:eastAsia="Calibri" w:hAnsi="Arial" w:cs="Arial"/>
          <w:i/>
        </w:rPr>
        <w:t>If a student takes an additional course in one of the study areas (e.g., a third xxxx150 course), it will count as general elective credit.</w:t>
      </w:r>
      <w:proofErr w:type="gramEnd"/>
      <w:r w:rsidRPr="00161F89">
        <w:rPr>
          <w:rFonts w:ascii="Arial" w:eastAsia="Calibri" w:hAnsi="Arial" w:cs="Arial"/>
          <w:i/>
        </w:rPr>
        <w:t xml:space="preserve">  Note:  Tier </w:t>
      </w:r>
      <w:proofErr w:type="gramStart"/>
      <w:r w:rsidRPr="00161F89">
        <w:rPr>
          <w:rFonts w:ascii="Arial" w:eastAsia="Calibri" w:hAnsi="Arial" w:cs="Arial"/>
          <w:i/>
        </w:rPr>
        <w:t>One</w:t>
      </w:r>
      <w:proofErr w:type="gramEnd"/>
      <w:r w:rsidRPr="00161F89">
        <w:rPr>
          <w:rFonts w:ascii="Arial" w:eastAsia="Calibri" w:hAnsi="Arial" w:cs="Arial"/>
          <w:i/>
        </w:rPr>
        <w:t xml:space="preserve"> courses cannot apply toward the major or minor.</w:t>
      </w:r>
    </w:p>
    <w:p w:rsidR="00161F89" w:rsidRDefault="00161F89" w:rsidP="00161F89">
      <w:pPr>
        <w:rPr>
          <w:rFonts w:ascii="Arial" w:eastAsia="Calibri" w:hAnsi="Arial" w:cs="Arial"/>
          <w:b/>
        </w:rPr>
      </w:pPr>
    </w:p>
    <w:p w:rsidR="00913236" w:rsidRDefault="00913236" w:rsidP="00161F89">
      <w:pPr>
        <w:rPr>
          <w:rFonts w:ascii="Arial" w:eastAsia="Calibri" w:hAnsi="Arial" w:cs="Arial"/>
          <w:b/>
        </w:rPr>
      </w:pPr>
    </w:p>
    <w:p w:rsidR="00161F89" w:rsidRPr="009F1BFC" w:rsidRDefault="00161F89" w:rsidP="00161F89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Rationale</w:t>
      </w:r>
      <w:r w:rsidRPr="009F1BFC">
        <w:rPr>
          <w:rFonts w:ascii="Arial" w:eastAsia="Calibri" w:hAnsi="Arial" w:cs="Arial"/>
          <w:b/>
        </w:rPr>
        <w:t>:</w:t>
      </w:r>
    </w:p>
    <w:p w:rsidR="00161F89" w:rsidRDefault="00161F89" w:rsidP="00161F89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 xml:space="preserve">Removal of the categories within each study area will simplify course articulation for transfer students who don’t finish an AGEC from an Arizona community college. </w:t>
      </w:r>
    </w:p>
    <w:p w:rsidR="00DF32AF" w:rsidRPr="00DF32AF" w:rsidRDefault="00DF32AF" w:rsidP="00161F89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DF32AF">
        <w:rPr>
          <w:rFonts w:ascii="Arial" w:eastAsia="Calibri" w:hAnsi="Arial" w:cs="Arial"/>
        </w:rPr>
        <w:t>Students frequently choose two courses within the same study area category, mistakenly thinking they have completed the study area requirement, when in fact they have not.</w:t>
      </w:r>
    </w:p>
    <w:p w:rsidR="00161F89" w:rsidRPr="00161F89" w:rsidRDefault="00161F89" w:rsidP="00161F89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 xml:space="preserve">Eliminating the significance of the course letters will reduce faculty and student confusion about the meaning of categories within each study area. </w:t>
      </w:r>
    </w:p>
    <w:p w:rsidR="00161F89" w:rsidRPr="00161F89" w:rsidRDefault="00161F89" w:rsidP="00161F89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>Tier One requirements will be easier to explain to high school students at recruitment sessions and to new students at orientations.</w:t>
      </w:r>
    </w:p>
    <w:p w:rsidR="00161F89" w:rsidRPr="00161F89" w:rsidRDefault="00161F89" w:rsidP="00161F89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161F89">
        <w:rPr>
          <w:rFonts w:ascii="Arial" w:eastAsia="Calibri" w:hAnsi="Arial" w:cs="Arial"/>
        </w:rPr>
        <w:t xml:space="preserve">This simplification will better align the UA’s General Education </w:t>
      </w:r>
      <w:r w:rsidR="00943209">
        <w:rPr>
          <w:rFonts w:ascii="Arial" w:eastAsia="Calibri" w:hAnsi="Arial" w:cs="Arial"/>
        </w:rPr>
        <w:t>w</w:t>
      </w:r>
      <w:r w:rsidRPr="00161F89">
        <w:rPr>
          <w:rFonts w:ascii="Arial" w:eastAsia="Calibri" w:hAnsi="Arial" w:cs="Arial"/>
        </w:rPr>
        <w:t>ith those of ASU and NAU.</w:t>
      </w:r>
    </w:p>
    <w:p w:rsidR="00161F89" w:rsidRPr="009F1BFC" w:rsidRDefault="00161F89" w:rsidP="00161F89">
      <w:pPr>
        <w:rPr>
          <w:rFonts w:ascii="Arial" w:eastAsia="Calibri" w:hAnsi="Arial" w:cs="Arial"/>
          <w:b/>
        </w:rPr>
      </w:pPr>
    </w:p>
    <w:p w:rsidR="00DF32AF" w:rsidRDefault="00DF32AF" w:rsidP="00DF32AF">
      <w:pPr>
        <w:rPr>
          <w:rFonts w:ascii="Arial" w:eastAsia="Calibri" w:hAnsi="Arial" w:cs="Arial"/>
        </w:rPr>
      </w:pPr>
      <w:r w:rsidRPr="009F1BFC">
        <w:rPr>
          <w:rFonts w:ascii="Arial" w:eastAsia="Calibri" w:hAnsi="Arial" w:cs="Arial"/>
          <w:b/>
        </w:rPr>
        <w:t xml:space="preserve">Effective </w:t>
      </w:r>
      <w:r>
        <w:rPr>
          <w:rFonts w:ascii="Arial" w:eastAsia="Calibri" w:hAnsi="Arial" w:cs="Arial"/>
          <w:b/>
        </w:rPr>
        <w:t>Term</w:t>
      </w:r>
      <w:r w:rsidRPr="009F1BFC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</w:rPr>
        <w:t xml:space="preserve">   </w:t>
      </w:r>
    </w:p>
    <w:p w:rsidR="00DF32AF" w:rsidRPr="009F1BFC" w:rsidRDefault="00DF32AF" w:rsidP="00DF32AF">
      <w:pPr>
        <w:ind w:left="360"/>
        <w:rPr>
          <w:rFonts w:ascii="Arial" w:eastAsia="Calibri" w:hAnsi="Arial" w:cs="Arial"/>
        </w:rPr>
      </w:pPr>
      <w:r w:rsidRPr="00913236">
        <w:rPr>
          <w:rFonts w:ascii="Arial" w:eastAsia="Calibri" w:hAnsi="Arial" w:cs="Arial"/>
          <w:b/>
        </w:rPr>
        <w:t>Summer/Fall 2016</w:t>
      </w:r>
      <w:r>
        <w:rPr>
          <w:rFonts w:ascii="Arial" w:eastAsia="Calibri" w:hAnsi="Arial" w:cs="Arial"/>
        </w:rPr>
        <w:t xml:space="preserve"> for </w:t>
      </w:r>
      <w:bookmarkStart w:id="0" w:name="_GoBack"/>
      <w:bookmarkEnd w:id="0"/>
      <w:r>
        <w:rPr>
          <w:rFonts w:ascii="Arial" w:eastAsia="Calibri" w:hAnsi="Arial" w:cs="Arial"/>
        </w:rPr>
        <w:t xml:space="preserve">students in the 2016-17 Catalog.  One year is needed for UAccess Student staff to implement this change to Student Academic Advisement Reports, Smart Planner, and other UA systems.  </w:t>
      </w:r>
      <w:r w:rsidRPr="00913236">
        <w:rPr>
          <w:rFonts w:ascii="Arial" w:eastAsia="Calibri" w:hAnsi="Arial" w:cs="Arial"/>
          <w:b/>
        </w:rPr>
        <w:t xml:space="preserve">In </w:t>
      </w:r>
      <w:proofErr w:type="gramStart"/>
      <w:r w:rsidRPr="00913236">
        <w:rPr>
          <w:rFonts w:ascii="Arial" w:eastAsia="Calibri" w:hAnsi="Arial" w:cs="Arial"/>
          <w:b/>
        </w:rPr>
        <w:t>Fall</w:t>
      </w:r>
      <w:proofErr w:type="gramEnd"/>
      <w:r w:rsidRPr="00913236">
        <w:rPr>
          <w:rFonts w:ascii="Arial" w:eastAsia="Calibri" w:hAnsi="Arial" w:cs="Arial"/>
          <w:b/>
        </w:rPr>
        <w:t xml:space="preserve"> 2015</w:t>
      </w:r>
      <w:r>
        <w:rPr>
          <w:rFonts w:ascii="Arial" w:eastAsia="Calibri" w:hAnsi="Arial" w:cs="Arial"/>
        </w:rPr>
        <w:t>, college advisors may make course adjustments for the &lt;100 incoming transfer students who are affected by this delay.</w:t>
      </w:r>
    </w:p>
    <w:p w:rsidR="00913236" w:rsidRDefault="00913236" w:rsidP="00161F89">
      <w:pPr>
        <w:rPr>
          <w:rFonts w:ascii="Arial" w:eastAsia="Calibri" w:hAnsi="Arial" w:cs="Arial"/>
          <w:b/>
        </w:rPr>
      </w:pPr>
    </w:p>
    <w:sectPr w:rsidR="00913236" w:rsidSect="00913236">
      <w:headerReference w:type="default" r:id="rId9"/>
      <w:pgSz w:w="12240" w:h="15840"/>
      <w:pgMar w:top="1152" w:right="1152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36" w:rsidRDefault="00913236" w:rsidP="00913236">
      <w:r>
        <w:separator/>
      </w:r>
    </w:p>
  </w:endnote>
  <w:endnote w:type="continuationSeparator" w:id="0">
    <w:p w:rsidR="00913236" w:rsidRDefault="00913236" w:rsidP="0091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36" w:rsidRDefault="00913236" w:rsidP="00913236">
      <w:r>
        <w:separator/>
      </w:r>
    </w:p>
  </w:footnote>
  <w:footnote w:type="continuationSeparator" w:id="0">
    <w:p w:rsidR="00913236" w:rsidRDefault="00913236" w:rsidP="00913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0463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3236" w:rsidRDefault="009132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236" w:rsidRDefault="00913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5BC9"/>
    <w:multiLevelType w:val="hybridMultilevel"/>
    <w:tmpl w:val="1A5CA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DD4F6D"/>
    <w:multiLevelType w:val="hybridMultilevel"/>
    <w:tmpl w:val="81AE5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89"/>
    <w:rsid w:val="00161F89"/>
    <w:rsid w:val="003B34DC"/>
    <w:rsid w:val="00473A62"/>
    <w:rsid w:val="005F2AE3"/>
    <w:rsid w:val="00763844"/>
    <w:rsid w:val="0078261E"/>
    <w:rsid w:val="00913236"/>
    <w:rsid w:val="00943209"/>
    <w:rsid w:val="00AA2F41"/>
    <w:rsid w:val="00DF32AF"/>
    <w:rsid w:val="00E3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F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36"/>
  </w:style>
  <w:style w:type="paragraph" w:styleId="Footer">
    <w:name w:val="footer"/>
    <w:basedOn w:val="Normal"/>
    <w:link w:val="FooterChar"/>
    <w:uiPriority w:val="99"/>
    <w:unhideWhenUsed/>
    <w:rsid w:val="00913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F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36"/>
  </w:style>
  <w:style w:type="paragraph" w:styleId="Footer">
    <w:name w:val="footer"/>
    <w:basedOn w:val="Normal"/>
    <w:link w:val="FooterChar"/>
    <w:uiPriority w:val="99"/>
    <w:unhideWhenUsed/>
    <w:rsid w:val="00913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arizona.edu/2014-15/gened_tier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Pardee</dc:creator>
  <cp:lastModifiedBy>Celeste Pardee</cp:lastModifiedBy>
  <cp:revision>2</cp:revision>
  <dcterms:created xsi:type="dcterms:W3CDTF">2015-05-12T22:30:00Z</dcterms:created>
  <dcterms:modified xsi:type="dcterms:W3CDTF">2015-05-12T22:30:00Z</dcterms:modified>
</cp:coreProperties>
</file>