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7A0" w:rsidRDefault="006477A0" w:rsidP="006477A0">
      <w:pPr>
        <w:pStyle w:val="Heading3"/>
        <w:rPr>
          <w:b/>
        </w:rPr>
      </w:pPr>
      <w:r>
        <w:rPr>
          <w:b/>
        </w:rPr>
        <w:t>U</w:t>
      </w:r>
      <w:bookmarkStart w:id="0" w:name="_GoBack"/>
      <w:bookmarkEnd w:id="0"/>
      <w:r w:rsidRPr="005C5F7B">
        <w:rPr>
          <w:b/>
        </w:rPr>
        <w:t>sing the Online Advisement Report to Enter Course Directive Exceptions</w:t>
      </w:r>
    </w:p>
    <w:p w:rsidR="006477A0" w:rsidRDefault="006477A0" w:rsidP="006477A0"/>
    <w:p w:rsidR="006477A0" w:rsidRPr="008C669D" w:rsidRDefault="006477A0" w:rsidP="006477A0">
      <w:pPr>
        <w:rPr>
          <w:sz w:val="22"/>
          <w:szCs w:val="22"/>
        </w:rPr>
      </w:pPr>
      <w:r w:rsidRPr="008C669D">
        <w:rPr>
          <w:sz w:val="22"/>
          <w:szCs w:val="22"/>
        </w:rPr>
        <w:t>Creating course directive exceptions from the online advisement report saves time and eliminates the need to gather disparate pieces of information</w:t>
      </w:r>
      <w:r>
        <w:rPr>
          <w:sz w:val="22"/>
          <w:szCs w:val="22"/>
        </w:rPr>
        <w:t>:</w:t>
      </w:r>
      <w:r w:rsidRPr="008C669D">
        <w:rPr>
          <w:sz w:val="22"/>
          <w:szCs w:val="22"/>
        </w:rPr>
        <w:t xml:space="preserve"> requirement term, career, program, plan, sub-plan, and student ID information on the first page of the exception; and requirement group, requirement, and line numbers on the second page of the exception.  </w:t>
      </w:r>
    </w:p>
    <w:p w:rsidR="006477A0" w:rsidRPr="00C02739" w:rsidRDefault="006477A0" w:rsidP="006477A0">
      <w:pPr>
        <w:pStyle w:val="Heading3"/>
        <w:rPr>
          <w:rFonts w:ascii="Times New Roman" w:hAnsi="Times New Roman"/>
          <w:sz w:val="22"/>
          <w:szCs w:val="22"/>
        </w:rPr>
      </w:pPr>
      <w:r w:rsidRPr="00C02739">
        <w:rPr>
          <w:rFonts w:ascii="Times New Roman" w:hAnsi="Times New Roman"/>
          <w:sz w:val="22"/>
          <w:szCs w:val="22"/>
        </w:rPr>
        <w:t>Navigation: Academic Advisement &gt; Student Advisement &gt; Request Advisement Report</w:t>
      </w:r>
    </w:p>
    <w:tbl>
      <w:tblPr>
        <w:tblW w:w="5195" w:type="pct"/>
        <w:tblInd w:w="-106" w:type="dxa"/>
        <w:tblBorders>
          <w:top w:val="single" w:sz="4" w:space="0" w:color="auto"/>
          <w:left w:val="single" w:sz="4" w:space="0" w:color="auto"/>
          <w:bottom w:val="single" w:sz="4" w:space="0" w:color="auto"/>
          <w:right w:val="single" w:sz="4" w:space="0" w:color="auto"/>
        </w:tblBorders>
        <w:tblLayout w:type="fixed"/>
        <w:tblCellMar>
          <w:top w:w="29" w:type="dxa"/>
          <w:bottom w:w="58" w:type="dxa"/>
        </w:tblCellMar>
        <w:tblLook w:val="0000" w:firstRow="0" w:lastRow="0" w:firstColumn="0" w:lastColumn="0" w:noHBand="0" w:noVBand="0"/>
      </w:tblPr>
      <w:tblGrid>
        <w:gridCol w:w="1342"/>
        <w:gridCol w:w="8370"/>
      </w:tblGrid>
      <w:tr w:rsidR="006477A0" w:rsidTr="00484E95">
        <w:trPr>
          <w:cantSplit/>
          <w:tblHeader/>
        </w:trPr>
        <w:tc>
          <w:tcPr>
            <w:tcW w:w="691" w:type="pct"/>
            <w:tcBorders>
              <w:top w:val="single" w:sz="6" w:space="0" w:color="auto"/>
              <w:left w:val="single" w:sz="6" w:space="0" w:color="auto"/>
              <w:bottom w:val="single" w:sz="4" w:space="0" w:color="auto"/>
              <w:right w:val="single" w:sz="6" w:space="0" w:color="auto"/>
            </w:tcBorders>
            <w:shd w:val="clear" w:color="auto" w:fill="E0E0E0"/>
          </w:tcPr>
          <w:p w:rsidR="006477A0" w:rsidRDefault="006477A0" w:rsidP="00484E95">
            <w:pPr>
              <w:keepNext/>
              <w:jc w:val="center"/>
            </w:pPr>
            <w:r w:rsidRPr="008A311E">
              <w:rPr>
                <w:b/>
                <w:sz w:val="22"/>
                <w:szCs w:val="22"/>
              </w:rPr>
              <w:t>Step</w:t>
            </w:r>
          </w:p>
        </w:tc>
        <w:tc>
          <w:tcPr>
            <w:tcW w:w="4309" w:type="pct"/>
            <w:tcBorders>
              <w:top w:val="single" w:sz="6" w:space="0" w:color="auto"/>
              <w:left w:val="single" w:sz="6" w:space="0" w:color="auto"/>
              <w:bottom w:val="single" w:sz="6" w:space="0" w:color="auto"/>
              <w:right w:val="single" w:sz="6" w:space="0" w:color="auto"/>
            </w:tcBorders>
            <w:shd w:val="clear" w:color="auto" w:fill="E0E0E0"/>
          </w:tcPr>
          <w:p w:rsidR="006477A0" w:rsidRDefault="006477A0" w:rsidP="00484E95">
            <w:pPr>
              <w:keepNext/>
              <w:rPr>
                <w:b/>
              </w:rPr>
            </w:pPr>
            <w:r w:rsidRPr="008A311E">
              <w:rPr>
                <w:b/>
                <w:sz w:val="22"/>
                <w:szCs w:val="22"/>
              </w:rPr>
              <w:t>Action</w:t>
            </w:r>
          </w:p>
        </w:tc>
      </w:tr>
      <w:tr w:rsidR="006477A0" w:rsidTr="00484E95">
        <w:trPr>
          <w:cantSplit/>
        </w:trPr>
        <w:tc>
          <w:tcPr>
            <w:tcW w:w="691" w:type="pct"/>
            <w:tcBorders>
              <w:top w:val="single" w:sz="4" w:space="0" w:color="auto"/>
              <w:bottom w:val="single" w:sz="4" w:space="0" w:color="auto"/>
              <w:right w:val="single" w:sz="4" w:space="0" w:color="auto"/>
            </w:tcBorders>
          </w:tcPr>
          <w:p w:rsidR="006477A0" w:rsidRDefault="006477A0" w:rsidP="00484E95">
            <w:pPr>
              <w:pStyle w:val="numberedsteptext"/>
              <w:numPr>
                <w:ilvl w:val="0"/>
                <w:numId w:val="0"/>
              </w:numPr>
              <w:jc w:val="center"/>
            </w:pPr>
            <w:r>
              <w:t>1.</w:t>
            </w:r>
          </w:p>
        </w:tc>
        <w:tc>
          <w:tcPr>
            <w:tcW w:w="4309" w:type="pct"/>
            <w:tcBorders>
              <w:top w:val="single" w:sz="6" w:space="0" w:color="auto"/>
              <w:left w:val="single" w:sz="4" w:space="0" w:color="auto"/>
              <w:bottom w:val="single" w:sz="6" w:space="0" w:color="auto"/>
              <w:right w:val="single" w:sz="6" w:space="0" w:color="auto"/>
            </w:tcBorders>
          </w:tcPr>
          <w:p w:rsidR="006477A0" w:rsidRDefault="006477A0" w:rsidP="00484E95">
            <w:pPr>
              <w:pStyle w:val="steptext"/>
            </w:pPr>
            <w:r>
              <w:t xml:space="preserve">Generate an ADVIP advisement report for the student you need to enter exceptions for.  </w:t>
            </w:r>
          </w:p>
        </w:tc>
      </w:tr>
      <w:tr w:rsidR="006477A0" w:rsidTr="00484E95">
        <w:trPr>
          <w:cantSplit/>
        </w:trPr>
        <w:tc>
          <w:tcPr>
            <w:tcW w:w="691" w:type="pct"/>
            <w:tcBorders>
              <w:top w:val="single" w:sz="4" w:space="0" w:color="auto"/>
              <w:bottom w:val="single" w:sz="4" w:space="0" w:color="auto"/>
              <w:right w:val="single" w:sz="4" w:space="0" w:color="auto"/>
            </w:tcBorders>
          </w:tcPr>
          <w:p w:rsidR="006477A0" w:rsidRDefault="006477A0" w:rsidP="00484E95">
            <w:pPr>
              <w:pStyle w:val="numberedsteptext"/>
              <w:numPr>
                <w:ilvl w:val="0"/>
                <w:numId w:val="0"/>
              </w:numPr>
              <w:jc w:val="center"/>
            </w:pPr>
            <w:r>
              <w:t>2.</w:t>
            </w:r>
          </w:p>
        </w:tc>
        <w:tc>
          <w:tcPr>
            <w:tcW w:w="4309" w:type="pct"/>
            <w:tcBorders>
              <w:top w:val="single" w:sz="6" w:space="0" w:color="auto"/>
              <w:left w:val="single" w:sz="4" w:space="0" w:color="auto"/>
              <w:bottom w:val="single" w:sz="6" w:space="0" w:color="auto"/>
              <w:right w:val="single" w:sz="6" w:space="0" w:color="auto"/>
            </w:tcBorders>
          </w:tcPr>
          <w:p w:rsidR="006477A0" w:rsidRDefault="006477A0" w:rsidP="00484E95">
            <w:r>
              <w:t>Scroll to the area of the advisement report you want to make an exception to.</w:t>
            </w:r>
          </w:p>
        </w:tc>
      </w:tr>
    </w:tbl>
    <w:p w:rsidR="006477A0" w:rsidRDefault="006477A0" w:rsidP="006477A0">
      <w:pPr>
        <w:pStyle w:val="Heading3"/>
        <w:jc w:val="center"/>
        <w:rPr>
          <w:noProof/>
        </w:rPr>
      </w:pPr>
      <w:r w:rsidRPr="00585AAC">
        <w:rPr>
          <w:noProof/>
        </w:rPr>
        <w:drawing>
          <wp:inline distT="0" distB="0" distL="0" distR="0">
            <wp:extent cx="3898900" cy="3691890"/>
            <wp:effectExtent l="0" t="0" r="635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8900" cy="3691890"/>
                    </a:xfrm>
                    <a:prstGeom prst="rect">
                      <a:avLst/>
                    </a:prstGeom>
                    <a:noFill/>
                    <a:ln>
                      <a:noFill/>
                    </a:ln>
                  </pic:spPr>
                </pic:pic>
              </a:graphicData>
            </a:graphic>
          </wp:inline>
        </w:drawing>
      </w:r>
    </w:p>
    <w:p w:rsidR="006477A0" w:rsidRPr="00F13C22" w:rsidRDefault="006477A0" w:rsidP="006477A0"/>
    <w:tbl>
      <w:tblPr>
        <w:tblW w:w="5062" w:type="pct"/>
        <w:tblInd w:w="-106" w:type="dxa"/>
        <w:tblBorders>
          <w:top w:val="single" w:sz="4" w:space="0" w:color="auto"/>
          <w:left w:val="single" w:sz="4" w:space="0" w:color="auto"/>
          <w:bottom w:val="single" w:sz="4" w:space="0" w:color="auto"/>
          <w:right w:val="single" w:sz="4" w:space="0" w:color="auto"/>
        </w:tblBorders>
        <w:tblLayout w:type="fixed"/>
        <w:tblCellMar>
          <w:top w:w="29" w:type="dxa"/>
          <w:bottom w:w="58" w:type="dxa"/>
        </w:tblCellMar>
        <w:tblLook w:val="0000" w:firstRow="0" w:lastRow="0" w:firstColumn="0" w:lastColumn="0" w:noHBand="0" w:noVBand="0"/>
      </w:tblPr>
      <w:tblGrid>
        <w:gridCol w:w="1342"/>
        <w:gridCol w:w="8121"/>
      </w:tblGrid>
      <w:tr w:rsidR="006477A0" w:rsidTr="00484E95">
        <w:trPr>
          <w:cantSplit/>
        </w:trPr>
        <w:tc>
          <w:tcPr>
            <w:tcW w:w="709" w:type="pct"/>
            <w:tcBorders>
              <w:top w:val="single" w:sz="4" w:space="0" w:color="auto"/>
              <w:bottom w:val="single" w:sz="4" w:space="0" w:color="auto"/>
              <w:right w:val="single" w:sz="4" w:space="0" w:color="auto"/>
            </w:tcBorders>
          </w:tcPr>
          <w:p w:rsidR="006477A0" w:rsidRDefault="006477A0" w:rsidP="00484E95">
            <w:pPr>
              <w:pStyle w:val="numberedsteptext"/>
              <w:numPr>
                <w:ilvl w:val="0"/>
                <w:numId w:val="0"/>
              </w:numPr>
              <w:jc w:val="center"/>
            </w:pPr>
            <w:r>
              <w:t>3.</w:t>
            </w:r>
          </w:p>
        </w:tc>
        <w:tc>
          <w:tcPr>
            <w:tcW w:w="4291" w:type="pct"/>
            <w:tcBorders>
              <w:top w:val="single" w:sz="6" w:space="0" w:color="auto"/>
              <w:left w:val="single" w:sz="4" w:space="0" w:color="auto"/>
              <w:bottom w:val="single" w:sz="6" w:space="0" w:color="auto"/>
              <w:right w:val="single" w:sz="6" w:space="0" w:color="auto"/>
            </w:tcBorders>
          </w:tcPr>
          <w:p w:rsidR="006477A0" w:rsidRDefault="006477A0" w:rsidP="00484E95">
            <w:pPr>
              <w:pStyle w:val="steptext"/>
            </w:pPr>
            <w:r>
              <w:t xml:space="preserve">Notice that next to each course is a “Pair” link and below the course list is a “Substitute/Exclude” link. </w:t>
            </w:r>
          </w:p>
          <w:p w:rsidR="006477A0" w:rsidRDefault="006477A0" w:rsidP="006477A0">
            <w:pPr>
              <w:pStyle w:val="steptext"/>
              <w:numPr>
                <w:ilvl w:val="0"/>
                <w:numId w:val="2"/>
              </w:numPr>
            </w:pPr>
            <w:r>
              <w:rPr>
                <w:b/>
              </w:rPr>
              <w:t xml:space="preserve">Pair: </w:t>
            </w:r>
            <w:r>
              <w:t>Clicking the Pair link will create a course directive exception that excludes the course associated with the link you clicked.  The exception will also generate a line for you to choose which course you want to direct to the line.</w:t>
            </w:r>
          </w:p>
          <w:p w:rsidR="006477A0" w:rsidRDefault="006477A0" w:rsidP="006477A0">
            <w:pPr>
              <w:pStyle w:val="steptext"/>
              <w:numPr>
                <w:ilvl w:val="0"/>
                <w:numId w:val="2"/>
              </w:numPr>
            </w:pPr>
            <w:r w:rsidRPr="00A53808">
              <w:rPr>
                <w:b/>
              </w:rPr>
              <w:t>Substitute</w:t>
            </w:r>
            <w:r>
              <w:rPr>
                <w:b/>
              </w:rPr>
              <w:t>/Exclude</w:t>
            </w:r>
            <w:r w:rsidRPr="00A53808">
              <w:rPr>
                <w:b/>
              </w:rPr>
              <w:t>:</w:t>
            </w:r>
            <w:r>
              <w:t xml:space="preserve"> Clicking Substitute/Exclude will create a course directive exception that allows you to substitute or exclude a course.  No course is paired with the exception automatically if you choose this option.</w:t>
            </w:r>
          </w:p>
        </w:tc>
      </w:tr>
      <w:tr w:rsidR="006477A0" w:rsidTr="00484E95">
        <w:trPr>
          <w:cantSplit/>
        </w:trPr>
        <w:tc>
          <w:tcPr>
            <w:tcW w:w="709" w:type="pct"/>
            <w:tcBorders>
              <w:top w:val="single" w:sz="4" w:space="0" w:color="auto"/>
              <w:bottom w:val="single" w:sz="4" w:space="0" w:color="auto"/>
              <w:right w:val="single" w:sz="4" w:space="0" w:color="auto"/>
            </w:tcBorders>
          </w:tcPr>
          <w:p w:rsidR="006477A0" w:rsidRDefault="006477A0" w:rsidP="00484E95">
            <w:pPr>
              <w:pStyle w:val="numberedsteptext"/>
              <w:numPr>
                <w:ilvl w:val="0"/>
                <w:numId w:val="0"/>
              </w:numPr>
              <w:jc w:val="center"/>
            </w:pPr>
            <w:r>
              <w:t>4.</w:t>
            </w:r>
          </w:p>
        </w:tc>
        <w:tc>
          <w:tcPr>
            <w:tcW w:w="4291" w:type="pct"/>
            <w:tcBorders>
              <w:top w:val="single" w:sz="6" w:space="0" w:color="auto"/>
              <w:left w:val="single" w:sz="4" w:space="0" w:color="auto"/>
              <w:bottom w:val="single" w:sz="6" w:space="0" w:color="auto"/>
              <w:right w:val="single" w:sz="6" w:space="0" w:color="auto"/>
            </w:tcBorders>
          </w:tcPr>
          <w:p w:rsidR="006477A0" w:rsidRDefault="006477A0" w:rsidP="00484E95">
            <w:r>
              <w:t xml:space="preserve">For this example, we click on the ARH 315 Pair link.  A new </w:t>
            </w:r>
            <w:proofErr w:type="spellStart"/>
            <w:r>
              <w:t>UAccess</w:t>
            </w:r>
            <w:proofErr w:type="spellEnd"/>
            <w:r>
              <w:t xml:space="preserve"> window automatically opens to the exceptions page.</w:t>
            </w:r>
          </w:p>
        </w:tc>
      </w:tr>
    </w:tbl>
    <w:p w:rsidR="006477A0" w:rsidRDefault="006477A0" w:rsidP="006477A0">
      <w:pPr>
        <w:pStyle w:val="Heading3"/>
        <w:jc w:val="center"/>
        <w:rPr>
          <w:noProof/>
        </w:rPr>
      </w:pPr>
      <w:r w:rsidRPr="00C2309C">
        <w:rPr>
          <w:noProof/>
        </w:rPr>
        <w:lastRenderedPageBreak/>
        <w:drawing>
          <wp:inline distT="0" distB="0" distL="0" distR="0">
            <wp:extent cx="4244340" cy="330390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4340" cy="3303905"/>
                    </a:xfrm>
                    <a:prstGeom prst="rect">
                      <a:avLst/>
                    </a:prstGeom>
                    <a:noFill/>
                    <a:ln>
                      <a:noFill/>
                    </a:ln>
                  </pic:spPr>
                </pic:pic>
              </a:graphicData>
            </a:graphic>
          </wp:inline>
        </w:drawing>
      </w:r>
    </w:p>
    <w:p w:rsidR="006477A0" w:rsidRPr="008C669D" w:rsidRDefault="006477A0" w:rsidP="006477A0"/>
    <w:tbl>
      <w:tblPr>
        <w:tblW w:w="5062" w:type="pct"/>
        <w:tblInd w:w="-106" w:type="dxa"/>
        <w:tblBorders>
          <w:top w:val="single" w:sz="4" w:space="0" w:color="auto"/>
          <w:left w:val="single" w:sz="4" w:space="0" w:color="auto"/>
          <w:bottom w:val="single" w:sz="4" w:space="0" w:color="auto"/>
          <w:right w:val="single" w:sz="4" w:space="0" w:color="auto"/>
        </w:tblBorders>
        <w:tblLayout w:type="fixed"/>
        <w:tblCellMar>
          <w:top w:w="29" w:type="dxa"/>
          <w:bottom w:w="58" w:type="dxa"/>
        </w:tblCellMar>
        <w:tblLook w:val="0000" w:firstRow="0" w:lastRow="0" w:firstColumn="0" w:lastColumn="0" w:noHBand="0" w:noVBand="0"/>
      </w:tblPr>
      <w:tblGrid>
        <w:gridCol w:w="1342"/>
        <w:gridCol w:w="8121"/>
      </w:tblGrid>
      <w:tr w:rsidR="006477A0" w:rsidTr="00484E95">
        <w:trPr>
          <w:cantSplit/>
          <w:tblHeader/>
        </w:trPr>
        <w:tc>
          <w:tcPr>
            <w:tcW w:w="709" w:type="pct"/>
            <w:tcBorders>
              <w:top w:val="single" w:sz="6" w:space="0" w:color="auto"/>
              <w:left w:val="single" w:sz="6" w:space="0" w:color="auto"/>
              <w:bottom w:val="single" w:sz="4" w:space="0" w:color="auto"/>
              <w:right w:val="single" w:sz="6" w:space="0" w:color="auto"/>
            </w:tcBorders>
            <w:shd w:val="clear" w:color="auto" w:fill="E0E0E0"/>
          </w:tcPr>
          <w:p w:rsidR="006477A0" w:rsidRDefault="006477A0" w:rsidP="00484E95">
            <w:pPr>
              <w:keepNext/>
              <w:jc w:val="center"/>
            </w:pPr>
            <w:r w:rsidRPr="008A311E">
              <w:rPr>
                <w:b/>
                <w:sz w:val="22"/>
                <w:szCs w:val="22"/>
              </w:rPr>
              <w:t>Step</w:t>
            </w:r>
          </w:p>
        </w:tc>
        <w:tc>
          <w:tcPr>
            <w:tcW w:w="4291" w:type="pct"/>
            <w:tcBorders>
              <w:top w:val="single" w:sz="6" w:space="0" w:color="auto"/>
              <w:left w:val="single" w:sz="6" w:space="0" w:color="auto"/>
              <w:bottom w:val="single" w:sz="6" w:space="0" w:color="auto"/>
              <w:right w:val="single" w:sz="6" w:space="0" w:color="auto"/>
            </w:tcBorders>
            <w:shd w:val="clear" w:color="auto" w:fill="E0E0E0"/>
          </w:tcPr>
          <w:p w:rsidR="006477A0" w:rsidRDefault="006477A0" w:rsidP="00484E95">
            <w:pPr>
              <w:keepNext/>
              <w:rPr>
                <w:b/>
              </w:rPr>
            </w:pPr>
            <w:r w:rsidRPr="008A311E">
              <w:rPr>
                <w:b/>
                <w:sz w:val="22"/>
                <w:szCs w:val="22"/>
              </w:rPr>
              <w:t>Action</w:t>
            </w:r>
          </w:p>
        </w:tc>
      </w:tr>
      <w:tr w:rsidR="006477A0" w:rsidTr="00484E95">
        <w:trPr>
          <w:cantSplit/>
        </w:trPr>
        <w:tc>
          <w:tcPr>
            <w:tcW w:w="709" w:type="pct"/>
            <w:tcBorders>
              <w:top w:val="single" w:sz="4" w:space="0" w:color="auto"/>
              <w:bottom w:val="single" w:sz="4" w:space="0" w:color="auto"/>
              <w:right w:val="single" w:sz="4" w:space="0" w:color="auto"/>
            </w:tcBorders>
          </w:tcPr>
          <w:p w:rsidR="006477A0" w:rsidRDefault="006477A0" w:rsidP="00484E95">
            <w:pPr>
              <w:pStyle w:val="numberedsteptext"/>
              <w:numPr>
                <w:ilvl w:val="0"/>
                <w:numId w:val="0"/>
              </w:numPr>
              <w:jc w:val="center"/>
            </w:pPr>
            <w:r>
              <w:t>5.</w:t>
            </w:r>
          </w:p>
        </w:tc>
        <w:tc>
          <w:tcPr>
            <w:tcW w:w="4291" w:type="pct"/>
            <w:tcBorders>
              <w:top w:val="single" w:sz="6" w:space="0" w:color="auto"/>
              <w:left w:val="single" w:sz="4" w:space="0" w:color="auto"/>
              <w:bottom w:val="single" w:sz="6" w:space="0" w:color="auto"/>
              <w:right w:val="single" w:sz="6" w:space="0" w:color="auto"/>
            </w:tcBorders>
          </w:tcPr>
          <w:p w:rsidR="006477A0" w:rsidRDefault="006477A0" w:rsidP="00484E95">
            <w:pPr>
              <w:pStyle w:val="steptext"/>
            </w:pPr>
            <w:r>
              <w:t xml:space="preserve">Notice that the Requirement Term Date, Career, and Selection Data fields are automatically filled out for you. The </w:t>
            </w:r>
            <w:r w:rsidRPr="00AC4F6F">
              <w:rPr>
                <w:b/>
              </w:rPr>
              <w:t>Description</w:t>
            </w:r>
            <w:r>
              <w:t xml:space="preserve"> and </w:t>
            </w:r>
            <w:r w:rsidRPr="00AC4F6F">
              <w:rPr>
                <w:b/>
              </w:rPr>
              <w:t>Long Description</w:t>
            </w:r>
            <w:r>
              <w:t xml:space="preserve"> fields are both required.  None of the items under “Override Details” need to be input.  If a major or sub-plan is chosen that information will also populate for you (please see upcoming example).</w:t>
            </w:r>
          </w:p>
          <w:p w:rsidR="006477A0" w:rsidRDefault="006477A0" w:rsidP="00484E95">
            <w:pPr>
              <w:pStyle w:val="steptext"/>
            </w:pPr>
          </w:p>
          <w:p w:rsidR="006477A0" w:rsidRDefault="006477A0" w:rsidP="00484E95">
            <w:pPr>
              <w:pStyle w:val="steptext"/>
            </w:pPr>
            <w:r>
              <w:t xml:space="preserve">Note: the Description does not appear on the advising report; however, if searching for an exception via description this is the field it will search, and this is also the description that appears in the search results.  The Long Description does appear on the online advising report, so use it to include pertinent data regarding your exception.  Examples include the date you enter the exception, name of transfer course, reason for exception, etc. </w:t>
            </w:r>
          </w:p>
        </w:tc>
      </w:tr>
      <w:tr w:rsidR="006477A0" w:rsidTr="00484E95">
        <w:trPr>
          <w:cantSplit/>
        </w:trPr>
        <w:tc>
          <w:tcPr>
            <w:tcW w:w="709" w:type="pct"/>
            <w:tcBorders>
              <w:top w:val="single" w:sz="4" w:space="0" w:color="auto"/>
              <w:bottom w:val="single" w:sz="4" w:space="0" w:color="auto"/>
              <w:right w:val="single" w:sz="4" w:space="0" w:color="auto"/>
            </w:tcBorders>
          </w:tcPr>
          <w:p w:rsidR="006477A0" w:rsidRDefault="006477A0" w:rsidP="00484E95">
            <w:pPr>
              <w:pStyle w:val="numberedsteptext"/>
              <w:numPr>
                <w:ilvl w:val="0"/>
                <w:numId w:val="0"/>
              </w:numPr>
              <w:jc w:val="center"/>
            </w:pPr>
            <w:r>
              <w:t>6.</w:t>
            </w:r>
          </w:p>
        </w:tc>
        <w:tc>
          <w:tcPr>
            <w:tcW w:w="4291" w:type="pct"/>
            <w:tcBorders>
              <w:top w:val="single" w:sz="6" w:space="0" w:color="auto"/>
              <w:left w:val="single" w:sz="4" w:space="0" w:color="auto"/>
              <w:bottom w:val="single" w:sz="6" w:space="0" w:color="auto"/>
              <w:right w:val="single" w:sz="6" w:space="0" w:color="auto"/>
            </w:tcBorders>
          </w:tcPr>
          <w:p w:rsidR="006477A0" w:rsidRPr="00EF1918" w:rsidRDefault="006477A0" w:rsidP="00484E95">
            <w:pPr>
              <w:pStyle w:val="steptext"/>
            </w:pPr>
            <w:r>
              <w:t xml:space="preserve">Once you have input your Description and Long Description click </w:t>
            </w:r>
            <w:r>
              <w:rPr>
                <w:b/>
              </w:rPr>
              <w:t>Create Exception</w:t>
            </w:r>
            <w:r>
              <w:t>.</w:t>
            </w:r>
          </w:p>
        </w:tc>
      </w:tr>
    </w:tbl>
    <w:p w:rsidR="006477A0" w:rsidRDefault="006477A0" w:rsidP="006477A0">
      <w:pPr>
        <w:pStyle w:val="Heading3"/>
        <w:jc w:val="center"/>
        <w:rPr>
          <w:noProof/>
        </w:rPr>
      </w:pPr>
      <w:r w:rsidRPr="00C2309C">
        <w:rPr>
          <w:noProof/>
        </w:rPr>
        <w:lastRenderedPageBreak/>
        <w:drawing>
          <wp:inline distT="0" distB="0" distL="0" distR="0">
            <wp:extent cx="3855720" cy="37699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5720" cy="3769995"/>
                    </a:xfrm>
                    <a:prstGeom prst="rect">
                      <a:avLst/>
                    </a:prstGeom>
                    <a:noFill/>
                    <a:ln>
                      <a:noFill/>
                    </a:ln>
                  </pic:spPr>
                </pic:pic>
              </a:graphicData>
            </a:graphic>
          </wp:inline>
        </w:drawing>
      </w:r>
    </w:p>
    <w:p w:rsidR="006477A0" w:rsidRDefault="006477A0" w:rsidP="006477A0"/>
    <w:tbl>
      <w:tblPr>
        <w:tblW w:w="5062" w:type="pct"/>
        <w:tblInd w:w="-106" w:type="dxa"/>
        <w:tblBorders>
          <w:top w:val="single" w:sz="4" w:space="0" w:color="auto"/>
          <w:left w:val="single" w:sz="4" w:space="0" w:color="auto"/>
          <w:bottom w:val="single" w:sz="4" w:space="0" w:color="auto"/>
          <w:right w:val="single" w:sz="4" w:space="0" w:color="auto"/>
        </w:tblBorders>
        <w:tblLayout w:type="fixed"/>
        <w:tblCellMar>
          <w:top w:w="29" w:type="dxa"/>
          <w:bottom w:w="58" w:type="dxa"/>
        </w:tblCellMar>
        <w:tblLook w:val="0000" w:firstRow="0" w:lastRow="0" w:firstColumn="0" w:lastColumn="0" w:noHBand="0" w:noVBand="0"/>
      </w:tblPr>
      <w:tblGrid>
        <w:gridCol w:w="1342"/>
        <w:gridCol w:w="8121"/>
      </w:tblGrid>
      <w:tr w:rsidR="006477A0" w:rsidTr="00484E95">
        <w:trPr>
          <w:cantSplit/>
          <w:tblHeader/>
        </w:trPr>
        <w:tc>
          <w:tcPr>
            <w:tcW w:w="709" w:type="pct"/>
            <w:tcBorders>
              <w:top w:val="single" w:sz="6" w:space="0" w:color="auto"/>
              <w:left w:val="single" w:sz="6" w:space="0" w:color="auto"/>
              <w:bottom w:val="single" w:sz="4" w:space="0" w:color="auto"/>
              <w:right w:val="single" w:sz="6" w:space="0" w:color="auto"/>
            </w:tcBorders>
            <w:shd w:val="clear" w:color="auto" w:fill="E0E0E0"/>
          </w:tcPr>
          <w:p w:rsidR="006477A0" w:rsidRDefault="006477A0" w:rsidP="00484E95">
            <w:pPr>
              <w:keepNext/>
              <w:jc w:val="center"/>
            </w:pPr>
            <w:r w:rsidRPr="008A311E">
              <w:rPr>
                <w:b/>
                <w:sz w:val="22"/>
                <w:szCs w:val="22"/>
              </w:rPr>
              <w:t>Step</w:t>
            </w:r>
          </w:p>
        </w:tc>
        <w:tc>
          <w:tcPr>
            <w:tcW w:w="4291" w:type="pct"/>
            <w:tcBorders>
              <w:top w:val="single" w:sz="6" w:space="0" w:color="auto"/>
              <w:left w:val="single" w:sz="6" w:space="0" w:color="auto"/>
              <w:bottom w:val="single" w:sz="6" w:space="0" w:color="auto"/>
              <w:right w:val="single" w:sz="6" w:space="0" w:color="auto"/>
            </w:tcBorders>
            <w:shd w:val="clear" w:color="auto" w:fill="E0E0E0"/>
          </w:tcPr>
          <w:p w:rsidR="006477A0" w:rsidRDefault="006477A0" w:rsidP="00484E95">
            <w:pPr>
              <w:keepNext/>
              <w:rPr>
                <w:b/>
              </w:rPr>
            </w:pPr>
            <w:r w:rsidRPr="008A311E">
              <w:rPr>
                <w:b/>
                <w:sz w:val="22"/>
                <w:szCs w:val="22"/>
              </w:rPr>
              <w:t>Action</w:t>
            </w:r>
          </w:p>
        </w:tc>
      </w:tr>
      <w:tr w:rsidR="006477A0" w:rsidTr="00484E95">
        <w:trPr>
          <w:cantSplit/>
        </w:trPr>
        <w:tc>
          <w:tcPr>
            <w:tcW w:w="709" w:type="pct"/>
            <w:tcBorders>
              <w:top w:val="single" w:sz="4" w:space="0" w:color="auto"/>
              <w:bottom w:val="single" w:sz="4" w:space="0" w:color="auto"/>
              <w:right w:val="single" w:sz="4" w:space="0" w:color="auto"/>
            </w:tcBorders>
          </w:tcPr>
          <w:p w:rsidR="006477A0" w:rsidRDefault="006477A0" w:rsidP="00484E95">
            <w:pPr>
              <w:pStyle w:val="numberedsteptext"/>
              <w:numPr>
                <w:ilvl w:val="0"/>
                <w:numId w:val="0"/>
              </w:numPr>
              <w:jc w:val="center"/>
            </w:pPr>
            <w:r>
              <w:t>7.</w:t>
            </w:r>
          </w:p>
        </w:tc>
        <w:tc>
          <w:tcPr>
            <w:tcW w:w="4291" w:type="pct"/>
            <w:tcBorders>
              <w:top w:val="single" w:sz="6" w:space="0" w:color="auto"/>
              <w:left w:val="single" w:sz="4" w:space="0" w:color="auto"/>
              <w:bottom w:val="single" w:sz="6" w:space="0" w:color="auto"/>
              <w:right w:val="single" w:sz="6" w:space="0" w:color="auto"/>
            </w:tcBorders>
          </w:tcPr>
          <w:p w:rsidR="006477A0" w:rsidRDefault="006477A0" w:rsidP="00484E95">
            <w:pPr>
              <w:pStyle w:val="steptext"/>
            </w:pPr>
            <w:r>
              <w:t xml:space="preserve">Notice that the requirement group, requirement, and line numbers have auto-filled for you.  Further, ARH 315 is already set to exclude.  Now you just need to select your </w:t>
            </w:r>
            <w:r w:rsidRPr="00EC2F70">
              <w:rPr>
                <w:b/>
              </w:rPr>
              <w:t>Course Source</w:t>
            </w:r>
            <w:r>
              <w:rPr>
                <w:b/>
              </w:rPr>
              <w:t xml:space="preserve"> </w:t>
            </w:r>
            <w:r>
              <w:t>for the Substitute and choose the appropriate course for your exception.</w:t>
            </w:r>
          </w:p>
          <w:p w:rsidR="006477A0" w:rsidRDefault="006477A0" w:rsidP="00484E95">
            <w:pPr>
              <w:pStyle w:val="steptext"/>
            </w:pPr>
          </w:p>
          <w:p w:rsidR="006477A0" w:rsidRDefault="006477A0" w:rsidP="00484E95">
            <w:pPr>
              <w:pStyle w:val="steptext"/>
            </w:pPr>
            <w:r>
              <w:t>Note: Even though the Pair link automatically excludes the course you select it does not automatically pair them on the “</w:t>
            </w:r>
            <w:r w:rsidRPr="005E5B47">
              <w:rPr>
                <w:b/>
              </w:rPr>
              <w:t>Course Replacement Maintenance</w:t>
            </w:r>
            <w:r>
              <w:t>” screen.  You must still do that manually.</w:t>
            </w:r>
          </w:p>
        </w:tc>
      </w:tr>
      <w:tr w:rsidR="006477A0" w:rsidTr="00484E95">
        <w:trPr>
          <w:cantSplit/>
        </w:trPr>
        <w:tc>
          <w:tcPr>
            <w:tcW w:w="709" w:type="pct"/>
            <w:tcBorders>
              <w:top w:val="single" w:sz="4" w:space="0" w:color="auto"/>
              <w:bottom w:val="single" w:sz="4" w:space="0" w:color="auto"/>
              <w:right w:val="single" w:sz="4" w:space="0" w:color="auto"/>
            </w:tcBorders>
          </w:tcPr>
          <w:p w:rsidR="006477A0" w:rsidRDefault="006477A0" w:rsidP="00484E95">
            <w:pPr>
              <w:pStyle w:val="numberedsteptext"/>
              <w:numPr>
                <w:ilvl w:val="0"/>
                <w:numId w:val="0"/>
              </w:numPr>
              <w:jc w:val="center"/>
            </w:pPr>
            <w:r>
              <w:t>8.</w:t>
            </w:r>
          </w:p>
        </w:tc>
        <w:tc>
          <w:tcPr>
            <w:tcW w:w="4291" w:type="pct"/>
            <w:tcBorders>
              <w:top w:val="single" w:sz="6" w:space="0" w:color="auto"/>
              <w:left w:val="single" w:sz="4" w:space="0" w:color="auto"/>
              <w:bottom w:val="single" w:sz="6" w:space="0" w:color="auto"/>
              <w:right w:val="single" w:sz="6" w:space="0" w:color="auto"/>
            </w:tcBorders>
          </w:tcPr>
          <w:p w:rsidR="006477A0" w:rsidRDefault="006477A0" w:rsidP="00484E95">
            <w:pPr>
              <w:pStyle w:val="steptext"/>
            </w:pPr>
            <w:r>
              <w:t xml:space="preserve">Once you have completed and saved your exception you can simply close the </w:t>
            </w:r>
            <w:proofErr w:type="spellStart"/>
            <w:r>
              <w:t>UAccess</w:t>
            </w:r>
            <w:proofErr w:type="spellEnd"/>
            <w:r>
              <w:t xml:space="preserve"> window and return to the advisement to enter more exceptions or to refresh the report.</w:t>
            </w:r>
          </w:p>
          <w:p w:rsidR="006477A0" w:rsidRDefault="006477A0" w:rsidP="00484E95">
            <w:pPr>
              <w:pStyle w:val="steptext"/>
            </w:pPr>
          </w:p>
          <w:p w:rsidR="006477A0" w:rsidRDefault="006477A0" w:rsidP="00484E95">
            <w:pPr>
              <w:pStyle w:val="steptext"/>
            </w:pPr>
            <w:r>
              <w:t>To enter more exceptions just follow the same process by clicking Substitute or Pair where you want to enter you exception.  Please note that new exceptions won’t appear on the advising report until you have refreshed it.</w:t>
            </w:r>
          </w:p>
          <w:p w:rsidR="006477A0" w:rsidRDefault="006477A0" w:rsidP="00484E95">
            <w:pPr>
              <w:pStyle w:val="steptext"/>
            </w:pPr>
          </w:p>
          <w:p w:rsidR="006477A0" w:rsidRDefault="006477A0" w:rsidP="00484E95">
            <w:pPr>
              <w:pStyle w:val="steptext"/>
            </w:pPr>
            <w:r>
              <w:t>To refresh the advising report scroll to the bottom of the report and click on “</w:t>
            </w:r>
            <w:r w:rsidRPr="00D66E80">
              <w:rPr>
                <w:b/>
              </w:rPr>
              <w:t>Return to Report Request</w:t>
            </w:r>
            <w:r>
              <w:t>.”  Next, click “</w:t>
            </w:r>
            <w:r w:rsidRPr="00D66E80">
              <w:rPr>
                <w:b/>
              </w:rPr>
              <w:t>Process Request</w:t>
            </w:r>
            <w:r>
              <w:t>” to generate a new online advising report that will be up to date with the exceptions you just made.</w:t>
            </w:r>
          </w:p>
        </w:tc>
      </w:tr>
      <w:tr w:rsidR="006477A0" w:rsidTr="00484E95">
        <w:trPr>
          <w:cantSplit/>
        </w:trPr>
        <w:tc>
          <w:tcPr>
            <w:tcW w:w="709" w:type="pct"/>
            <w:tcBorders>
              <w:top w:val="single" w:sz="4" w:space="0" w:color="auto"/>
              <w:bottom w:val="single" w:sz="4" w:space="0" w:color="auto"/>
              <w:right w:val="single" w:sz="4" w:space="0" w:color="auto"/>
            </w:tcBorders>
          </w:tcPr>
          <w:p w:rsidR="006477A0" w:rsidRDefault="006477A0" w:rsidP="00484E95">
            <w:pPr>
              <w:pStyle w:val="numberedsteptext"/>
              <w:numPr>
                <w:ilvl w:val="0"/>
                <w:numId w:val="0"/>
              </w:numPr>
              <w:jc w:val="center"/>
            </w:pPr>
            <w:r>
              <w:t>9.</w:t>
            </w:r>
          </w:p>
        </w:tc>
        <w:tc>
          <w:tcPr>
            <w:tcW w:w="4291" w:type="pct"/>
            <w:tcBorders>
              <w:top w:val="single" w:sz="6" w:space="0" w:color="auto"/>
              <w:left w:val="single" w:sz="4" w:space="0" w:color="auto"/>
              <w:bottom w:val="single" w:sz="6" w:space="0" w:color="auto"/>
              <w:right w:val="single" w:sz="6" w:space="0" w:color="auto"/>
            </w:tcBorders>
          </w:tcPr>
          <w:p w:rsidR="006477A0" w:rsidRPr="002D19F5" w:rsidRDefault="006477A0" w:rsidP="00484E95">
            <w:r>
              <w:t xml:space="preserve">The process works the same when using the </w:t>
            </w:r>
            <w:r>
              <w:rPr>
                <w:b/>
              </w:rPr>
              <w:t xml:space="preserve">Substitute/Exclude </w:t>
            </w:r>
            <w:r>
              <w:t>link.  The only difference is you don’t have a course that is automatically excluded.</w:t>
            </w:r>
          </w:p>
        </w:tc>
      </w:tr>
    </w:tbl>
    <w:p w:rsidR="006477A0" w:rsidRDefault="006477A0" w:rsidP="006477A0"/>
    <w:p w:rsidR="006477A0" w:rsidRDefault="006477A0" w:rsidP="006477A0">
      <w:pPr>
        <w:jc w:val="center"/>
        <w:rPr>
          <w:noProof/>
        </w:rPr>
      </w:pPr>
      <w:r w:rsidRPr="00585AAC">
        <w:rPr>
          <w:noProof/>
        </w:rPr>
        <w:lastRenderedPageBreak/>
        <w:drawing>
          <wp:inline distT="0" distB="0" distL="0" distR="0">
            <wp:extent cx="4278630" cy="2338070"/>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8630" cy="2338070"/>
                    </a:xfrm>
                    <a:prstGeom prst="rect">
                      <a:avLst/>
                    </a:prstGeom>
                    <a:noFill/>
                    <a:ln>
                      <a:noFill/>
                    </a:ln>
                  </pic:spPr>
                </pic:pic>
              </a:graphicData>
            </a:graphic>
          </wp:inline>
        </w:drawing>
      </w:r>
    </w:p>
    <w:p w:rsidR="006477A0" w:rsidRDefault="006477A0" w:rsidP="006477A0">
      <w:pPr>
        <w:jc w:val="center"/>
        <w:rPr>
          <w:noProof/>
        </w:rPr>
      </w:pPr>
    </w:p>
    <w:p w:rsidR="006477A0" w:rsidRDefault="006477A0" w:rsidP="006477A0">
      <w:pPr>
        <w:jc w:val="center"/>
        <w:rPr>
          <w:noProof/>
        </w:rPr>
      </w:pPr>
      <w:r w:rsidRPr="00C2309C">
        <w:rPr>
          <w:noProof/>
        </w:rPr>
        <w:drawing>
          <wp:inline distT="0" distB="0" distL="0" distR="0">
            <wp:extent cx="4261485" cy="3002280"/>
            <wp:effectExtent l="0" t="0" r="57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1485" cy="3002280"/>
                    </a:xfrm>
                    <a:prstGeom prst="rect">
                      <a:avLst/>
                    </a:prstGeom>
                    <a:noFill/>
                    <a:ln>
                      <a:noFill/>
                    </a:ln>
                  </pic:spPr>
                </pic:pic>
              </a:graphicData>
            </a:graphic>
          </wp:inline>
        </w:drawing>
      </w:r>
    </w:p>
    <w:p w:rsidR="006477A0" w:rsidRDefault="006477A0" w:rsidP="006477A0">
      <w:pPr>
        <w:jc w:val="center"/>
        <w:rPr>
          <w:noProof/>
        </w:rPr>
      </w:pPr>
    </w:p>
    <w:tbl>
      <w:tblPr>
        <w:tblW w:w="5062" w:type="pct"/>
        <w:tblInd w:w="-106" w:type="dxa"/>
        <w:tblBorders>
          <w:top w:val="single" w:sz="4" w:space="0" w:color="auto"/>
          <w:left w:val="single" w:sz="4" w:space="0" w:color="auto"/>
          <w:bottom w:val="single" w:sz="4" w:space="0" w:color="auto"/>
          <w:right w:val="single" w:sz="4" w:space="0" w:color="auto"/>
        </w:tblBorders>
        <w:tblLayout w:type="fixed"/>
        <w:tblCellMar>
          <w:top w:w="29" w:type="dxa"/>
          <w:bottom w:w="58" w:type="dxa"/>
        </w:tblCellMar>
        <w:tblLook w:val="0000" w:firstRow="0" w:lastRow="0" w:firstColumn="0" w:lastColumn="0" w:noHBand="0" w:noVBand="0"/>
      </w:tblPr>
      <w:tblGrid>
        <w:gridCol w:w="1342"/>
        <w:gridCol w:w="8121"/>
      </w:tblGrid>
      <w:tr w:rsidR="006477A0" w:rsidTr="00484E95">
        <w:trPr>
          <w:cantSplit/>
          <w:tblHeader/>
        </w:trPr>
        <w:tc>
          <w:tcPr>
            <w:tcW w:w="709" w:type="pct"/>
            <w:tcBorders>
              <w:top w:val="single" w:sz="6" w:space="0" w:color="auto"/>
              <w:left w:val="single" w:sz="6" w:space="0" w:color="auto"/>
              <w:bottom w:val="single" w:sz="4" w:space="0" w:color="auto"/>
              <w:right w:val="single" w:sz="6" w:space="0" w:color="auto"/>
            </w:tcBorders>
            <w:shd w:val="clear" w:color="auto" w:fill="E0E0E0"/>
          </w:tcPr>
          <w:p w:rsidR="006477A0" w:rsidRDefault="006477A0" w:rsidP="00484E95">
            <w:pPr>
              <w:keepNext/>
              <w:jc w:val="center"/>
            </w:pPr>
            <w:r w:rsidRPr="008A311E">
              <w:rPr>
                <w:b/>
                <w:sz w:val="22"/>
                <w:szCs w:val="22"/>
              </w:rPr>
              <w:t>Step</w:t>
            </w:r>
          </w:p>
        </w:tc>
        <w:tc>
          <w:tcPr>
            <w:tcW w:w="4291" w:type="pct"/>
            <w:tcBorders>
              <w:top w:val="single" w:sz="6" w:space="0" w:color="auto"/>
              <w:left w:val="single" w:sz="6" w:space="0" w:color="auto"/>
              <w:bottom w:val="single" w:sz="6" w:space="0" w:color="auto"/>
              <w:right w:val="single" w:sz="6" w:space="0" w:color="auto"/>
            </w:tcBorders>
            <w:shd w:val="clear" w:color="auto" w:fill="E0E0E0"/>
          </w:tcPr>
          <w:p w:rsidR="006477A0" w:rsidRDefault="006477A0" w:rsidP="00484E95">
            <w:pPr>
              <w:keepNext/>
              <w:rPr>
                <w:b/>
              </w:rPr>
            </w:pPr>
            <w:r w:rsidRPr="008A311E">
              <w:rPr>
                <w:b/>
                <w:sz w:val="22"/>
                <w:szCs w:val="22"/>
              </w:rPr>
              <w:t>Action</w:t>
            </w:r>
          </w:p>
        </w:tc>
      </w:tr>
      <w:tr w:rsidR="006477A0" w:rsidTr="00484E95">
        <w:trPr>
          <w:cantSplit/>
        </w:trPr>
        <w:tc>
          <w:tcPr>
            <w:tcW w:w="709" w:type="pct"/>
            <w:tcBorders>
              <w:top w:val="single" w:sz="4" w:space="0" w:color="auto"/>
              <w:bottom w:val="single" w:sz="4" w:space="0" w:color="auto"/>
              <w:right w:val="single" w:sz="4" w:space="0" w:color="auto"/>
            </w:tcBorders>
          </w:tcPr>
          <w:p w:rsidR="006477A0" w:rsidRDefault="006477A0" w:rsidP="00484E95">
            <w:pPr>
              <w:pStyle w:val="numberedsteptext"/>
              <w:numPr>
                <w:ilvl w:val="0"/>
                <w:numId w:val="0"/>
              </w:numPr>
              <w:jc w:val="center"/>
            </w:pPr>
            <w:r>
              <w:t>10.</w:t>
            </w:r>
          </w:p>
        </w:tc>
        <w:tc>
          <w:tcPr>
            <w:tcW w:w="4291" w:type="pct"/>
            <w:tcBorders>
              <w:top w:val="single" w:sz="6" w:space="0" w:color="auto"/>
              <w:left w:val="single" w:sz="4" w:space="0" w:color="auto"/>
              <w:bottom w:val="single" w:sz="6" w:space="0" w:color="auto"/>
              <w:right w:val="single" w:sz="6" w:space="0" w:color="auto"/>
            </w:tcBorders>
          </w:tcPr>
          <w:p w:rsidR="006477A0" w:rsidRDefault="006477A0" w:rsidP="00484E95">
            <w:pPr>
              <w:pStyle w:val="steptext"/>
            </w:pPr>
            <w:r>
              <w:t>Notice how this time the program and plan information pulls in to the exception since it is needed for an exception to the major.</w:t>
            </w:r>
          </w:p>
        </w:tc>
      </w:tr>
    </w:tbl>
    <w:p w:rsidR="006477A0" w:rsidRDefault="006477A0" w:rsidP="006477A0"/>
    <w:p w:rsidR="006477A0" w:rsidRDefault="006477A0" w:rsidP="006477A0">
      <w:pPr>
        <w:jc w:val="center"/>
        <w:rPr>
          <w:noProof/>
        </w:rPr>
      </w:pPr>
      <w:r w:rsidRPr="00C2309C">
        <w:rPr>
          <w:noProof/>
        </w:rPr>
        <w:lastRenderedPageBreak/>
        <w:drawing>
          <wp:inline distT="0" distB="0" distL="0" distR="0">
            <wp:extent cx="4114800" cy="2976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2976245"/>
                    </a:xfrm>
                    <a:prstGeom prst="rect">
                      <a:avLst/>
                    </a:prstGeom>
                    <a:noFill/>
                    <a:ln>
                      <a:noFill/>
                    </a:ln>
                  </pic:spPr>
                </pic:pic>
              </a:graphicData>
            </a:graphic>
          </wp:inline>
        </w:drawing>
      </w:r>
    </w:p>
    <w:p w:rsidR="006477A0" w:rsidRDefault="006477A0" w:rsidP="006477A0">
      <w:pPr>
        <w:jc w:val="center"/>
        <w:rPr>
          <w:noProof/>
        </w:rPr>
      </w:pPr>
    </w:p>
    <w:tbl>
      <w:tblPr>
        <w:tblW w:w="5062" w:type="pct"/>
        <w:tblInd w:w="-106" w:type="dxa"/>
        <w:tblBorders>
          <w:top w:val="single" w:sz="4" w:space="0" w:color="auto"/>
          <w:left w:val="single" w:sz="4" w:space="0" w:color="auto"/>
          <w:bottom w:val="single" w:sz="4" w:space="0" w:color="auto"/>
          <w:right w:val="single" w:sz="4" w:space="0" w:color="auto"/>
        </w:tblBorders>
        <w:tblLayout w:type="fixed"/>
        <w:tblCellMar>
          <w:top w:w="29" w:type="dxa"/>
          <w:bottom w:w="58" w:type="dxa"/>
        </w:tblCellMar>
        <w:tblLook w:val="0000" w:firstRow="0" w:lastRow="0" w:firstColumn="0" w:lastColumn="0" w:noHBand="0" w:noVBand="0"/>
      </w:tblPr>
      <w:tblGrid>
        <w:gridCol w:w="1342"/>
        <w:gridCol w:w="8121"/>
      </w:tblGrid>
      <w:tr w:rsidR="006477A0" w:rsidTr="00484E95">
        <w:trPr>
          <w:cantSplit/>
          <w:tblHeader/>
        </w:trPr>
        <w:tc>
          <w:tcPr>
            <w:tcW w:w="709" w:type="pct"/>
            <w:tcBorders>
              <w:top w:val="single" w:sz="6" w:space="0" w:color="auto"/>
              <w:left w:val="single" w:sz="6" w:space="0" w:color="auto"/>
              <w:bottom w:val="single" w:sz="4" w:space="0" w:color="auto"/>
              <w:right w:val="single" w:sz="6" w:space="0" w:color="auto"/>
            </w:tcBorders>
            <w:shd w:val="clear" w:color="auto" w:fill="E0E0E0"/>
          </w:tcPr>
          <w:p w:rsidR="006477A0" w:rsidRDefault="006477A0" w:rsidP="00484E95">
            <w:pPr>
              <w:keepNext/>
              <w:jc w:val="center"/>
            </w:pPr>
            <w:r w:rsidRPr="008A311E">
              <w:rPr>
                <w:b/>
                <w:sz w:val="22"/>
                <w:szCs w:val="22"/>
              </w:rPr>
              <w:t>Step</w:t>
            </w:r>
          </w:p>
        </w:tc>
        <w:tc>
          <w:tcPr>
            <w:tcW w:w="4291" w:type="pct"/>
            <w:tcBorders>
              <w:top w:val="single" w:sz="6" w:space="0" w:color="auto"/>
              <w:left w:val="single" w:sz="6" w:space="0" w:color="auto"/>
              <w:bottom w:val="single" w:sz="6" w:space="0" w:color="auto"/>
              <w:right w:val="single" w:sz="6" w:space="0" w:color="auto"/>
            </w:tcBorders>
            <w:shd w:val="clear" w:color="auto" w:fill="E0E0E0"/>
          </w:tcPr>
          <w:p w:rsidR="006477A0" w:rsidRDefault="006477A0" w:rsidP="00484E95">
            <w:pPr>
              <w:keepNext/>
              <w:rPr>
                <w:b/>
              </w:rPr>
            </w:pPr>
            <w:r w:rsidRPr="008A311E">
              <w:rPr>
                <w:b/>
                <w:sz w:val="22"/>
                <w:szCs w:val="22"/>
              </w:rPr>
              <w:t>Action</w:t>
            </w:r>
          </w:p>
        </w:tc>
      </w:tr>
      <w:tr w:rsidR="006477A0" w:rsidTr="00484E95">
        <w:trPr>
          <w:cantSplit/>
        </w:trPr>
        <w:tc>
          <w:tcPr>
            <w:tcW w:w="709" w:type="pct"/>
            <w:tcBorders>
              <w:top w:val="single" w:sz="4" w:space="0" w:color="auto"/>
              <w:bottom w:val="single" w:sz="4" w:space="0" w:color="auto"/>
              <w:right w:val="single" w:sz="4" w:space="0" w:color="auto"/>
            </w:tcBorders>
          </w:tcPr>
          <w:p w:rsidR="006477A0" w:rsidRDefault="006477A0" w:rsidP="00484E95">
            <w:pPr>
              <w:pStyle w:val="numberedsteptext"/>
              <w:numPr>
                <w:ilvl w:val="0"/>
                <w:numId w:val="0"/>
              </w:numPr>
              <w:jc w:val="center"/>
            </w:pPr>
            <w:r>
              <w:t>11.</w:t>
            </w:r>
          </w:p>
        </w:tc>
        <w:tc>
          <w:tcPr>
            <w:tcW w:w="4291" w:type="pct"/>
            <w:tcBorders>
              <w:top w:val="single" w:sz="6" w:space="0" w:color="auto"/>
              <w:left w:val="single" w:sz="4" w:space="0" w:color="auto"/>
              <w:bottom w:val="single" w:sz="6" w:space="0" w:color="auto"/>
              <w:right w:val="single" w:sz="6" w:space="0" w:color="auto"/>
            </w:tcBorders>
          </w:tcPr>
          <w:p w:rsidR="006477A0" w:rsidRDefault="006477A0" w:rsidP="00484E95">
            <w:pPr>
              <w:pStyle w:val="steptext"/>
            </w:pPr>
            <w:r>
              <w:t>Once you click Create Exception you’ll see that, again, the requirement group, requirement, and line number have all populated with the correct information.  However, no course is automatically excluded.  At this point you are ready to substitute or exclude courses to the line.</w:t>
            </w:r>
          </w:p>
        </w:tc>
      </w:tr>
    </w:tbl>
    <w:p w:rsidR="006477A0" w:rsidRDefault="006477A0" w:rsidP="006477A0">
      <w:pPr>
        <w:jc w:val="center"/>
      </w:pPr>
    </w:p>
    <w:p w:rsidR="006477A0" w:rsidRDefault="006477A0" w:rsidP="006477A0">
      <w:pPr>
        <w:jc w:val="center"/>
        <w:rPr>
          <w:noProof/>
        </w:rPr>
      </w:pPr>
      <w:r w:rsidRPr="00C2309C">
        <w:rPr>
          <w:noProof/>
        </w:rPr>
        <w:drawing>
          <wp:inline distT="0" distB="0" distL="0" distR="0">
            <wp:extent cx="5115560" cy="305371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5560" cy="3053715"/>
                    </a:xfrm>
                    <a:prstGeom prst="rect">
                      <a:avLst/>
                    </a:prstGeom>
                    <a:noFill/>
                    <a:ln>
                      <a:noFill/>
                    </a:ln>
                  </pic:spPr>
                </pic:pic>
              </a:graphicData>
            </a:graphic>
          </wp:inline>
        </w:drawing>
      </w:r>
    </w:p>
    <w:p w:rsidR="006477A0" w:rsidRDefault="006477A0" w:rsidP="006477A0">
      <w:pPr>
        <w:jc w:val="center"/>
        <w:rPr>
          <w:noProof/>
        </w:rPr>
      </w:pPr>
    </w:p>
    <w:tbl>
      <w:tblPr>
        <w:tblW w:w="5062" w:type="pct"/>
        <w:tblInd w:w="-106" w:type="dxa"/>
        <w:tblBorders>
          <w:top w:val="single" w:sz="4" w:space="0" w:color="auto"/>
          <w:left w:val="single" w:sz="4" w:space="0" w:color="auto"/>
          <w:bottom w:val="single" w:sz="4" w:space="0" w:color="auto"/>
          <w:right w:val="single" w:sz="4" w:space="0" w:color="auto"/>
        </w:tblBorders>
        <w:tblLayout w:type="fixed"/>
        <w:tblCellMar>
          <w:top w:w="29" w:type="dxa"/>
          <w:bottom w:w="58" w:type="dxa"/>
        </w:tblCellMar>
        <w:tblLook w:val="0000" w:firstRow="0" w:lastRow="0" w:firstColumn="0" w:lastColumn="0" w:noHBand="0" w:noVBand="0"/>
      </w:tblPr>
      <w:tblGrid>
        <w:gridCol w:w="1342"/>
        <w:gridCol w:w="8121"/>
      </w:tblGrid>
      <w:tr w:rsidR="006477A0" w:rsidTr="00484E95">
        <w:trPr>
          <w:cantSplit/>
          <w:tblHeader/>
        </w:trPr>
        <w:tc>
          <w:tcPr>
            <w:tcW w:w="709" w:type="pct"/>
            <w:tcBorders>
              <w:top w:val="single" w:sz="6" w:space="0" w:color="auto"/>
              <w:left w:val="single" w:sz="6" w:space="0" w:color="auto"/>
              <w:bottom w:val="single" w:sz="4" w:space="0" w:color="auto"/>
              <w:right w:val="single" w:sz="6" w:space="0" w:color="auto"/>
            </w:tcBorders>
            <w:shd w:val="clear" w:color="auto" w:fill="E0E0E0"/>
          </w:tcPr>
          <w:p w:rsidR="006477A0" w:rsidRDefault="006477A0" w:rsidP="00484E95">
            <w:pPr>
              <w:keepNext/>
              <w:jc w:val="center"/>
            </w:pPr>
            <w:r w:rsidRPr="008A311E">
              <w:rPr>
                <w:b/>
                <w:sz w:val="22"/>
                <w:szCs w:val="22"/>
              </w:rPr>
              <w:lastRenderedPageBreak/>
              <w:t>Step</w:t>
            </w:r>
          </w:p>
        </w:tc>
        <w:tc>
          <w:tcPr>
            <w:tcW w:w="4291" w:type="pct"/>
            <w:tcBorders>
              <w:top w:val="single" w:sz="6" w:space="0" w:color="auto"/>
              <w:left w:val="single" w:sz="6" w:space="0" w:color="auto"/>
              <w:bottom w:val="single" w:sz="6" w:space="0" w:color="auto"/>
              <w:right w:val="single" w:sz="6" w:space="0" w:color="auto"/>
            </w:tcBorders>
            <w:shd w:val="clear" w:color="auto" w:fill="E0E0E0"/>
          </w:tcPr>
          <w:p w:rsidR="006477A0" w:rsidRDefault="006477A0" w:rsidP="00484E95">
            <w:pPr>
              <w:keepNext/>
              <w:rPr>
                <w:b/>
              </w:rPr>
            </w:pPr>
            <w:r w:rsidRPr="008A311E">
              <w:rPr>
                <w:b/>
                <w:sz w:val="22"/>
                <w:szCs w:val="22"/>
              </w:rPr>
              <w:t>Action</w:t>
            </w:r>
          </w:p>
        </w:tc>
      </w:tr>
      <w:tr w:rsidR="006477A0" w:rsidTr="00484E95">
        <w:trPr>
          <w:cantSplit/>
        </w:trPr>
        <w:tc>
          <w:tcPr>
            <w:tcW w:w="709" w:type="pct"/>
            <w:tcBorders>
              <w:top w:val="single" w:sz="4" w:space="0" w:color="auto"/>
              <w:bottom w:val="single" w:sz="4" w:space="0" w:color="auto"/>
              <w:right w:val="single" w:sz="4" w:space="0" w:color="auto"/>
            </w:tcBorders>
          </w:tcPr>
          <w:p w:rsidR="006477A0" w:rsidRDefault="006477A0" w:rsidP="00484E95">
            <w:pPr>
              <w:pStyle w:val="numberedsteptext"/>
              <w:numPr>
                <w:ilvl w:val="0"/>
                <w:numId w:val="0"/>
              </w:numPr>
              <w:jc w:val="center"/>
            </w:pPr>
            <w:r>
              <w:t>12.</w:t>
            </w:r>
          </w:p>
        </w:tc>
        <w:tc>
          <w:tcPr>
            <w:tcW w:w="4291" w:type="pct"/>
            <w:tcBorders>
              <w:top w:val="single" w:sz="6" w:space="0" w:color="auto"/>
              <w:left w:val="single" w:sz="4" w:space="0" w:color="auto"/>
              <w:bottom w:val="single" w:sz="6" w:space="0" w:color="auto"/>
              <w:right w:val="single" w:sz="6" w:space="0" w:color="auto"/>
            </w:tcBorders>
          </w:tcPr>
          <w:p w:rsidR="006477A0" w:rsidRDefault="006477A0" w:rsidP="00484E95">
            <w:pPr>
              <w:pStyle w:val="steptext"/>
            </w:pPr>
            <w:r>
              <w:t>If the course (i.e. course offering, enrollment, test, or transfer) is already being used in an active exception you will get a warning message telling you where the course has already been used and what the corresponding advisement override number is.  This is just a warning, so you can still click okay and save your exception and have it apply to the advising report.</w:t>
            </w:r>
          </w:p>
          <w:p w:rsidR="006477A0" w:rsidRDefault="006477A0" w:rsidP="00484E95">
            <w:pPr>
              <w:pStyle w:val="steptext"/>
            </w:pPr>
          </w:p>
          <w:p w:rsidR="006477A0" w:rsidRDefault="006477A0" w:rsidP="00484E95">
            <w:pPr>
              <w:pStyle w:val="steptext"/>
            </w:pPr>
            <w:r>
              <w:t>If you do not want to use the course in your exception you can either select a different course or delete the exception.</w:t>
            </w:r>
          </w:p>
          <w:p w:rsidR="006477A0" w:rsidRDefault="006477A0" w:rsidP="00484E95">
            <w:pPr>
              <w:pStyle w:val="steptext"/>
            </w:pPr>
          </w:p>
          <w:p w:rsidR="006477A0" w:rsidRPr="00BF3C6C" w:rsidRDefault="006477A0" w:rsidP="00484E95">
            <w:pPr>
              <w:pStyle w:val="steptext"/>
            </w:pPr>
            <w:r>
              <w:t xml:space="preserve">Note: This warning references the advising report and searches for exceptions that are being </w:t>
            </w:r>
            <w:r>
              <w:rPr>
                <w:i/>
              </w:rPr>
              <w:t>applied</w:t>
            </w:r>
            <w:r>
              <w:t xml:space="preserve"> to the advising report.  So if you are inputting multiple exceptions at once without refreshing the report you will not see this error, nor will you see this warning if the course was used in an exception that is not being applied (e.g. the course was used in an exception to a major that the student dropped).</w:t>
            </w:r>
          </w:p>
        </w:tc>
      </w:tr>
    </w:tbl>
    <w:p w:rsidR="00497201" w:rsidRDefault="00497201"/>
    <w:sectPr w:rsidR="00497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B660F"/>
    <w:multiLevelType w:val="hybridMultilevel"/>
    <w:tmpl w:val="0408F82E"/>
    <w:lvl w:ilvl="0" w:tplc="04090001">
      <w:start w:val="1"/>
      <w:numFmt w:val="bullet"/>
      <w:lvlText w:val=""/>
      <w:lvlJc w:val="left"/>
      <w:pPr>
        <w:tabs>
          <w:tab w:val="num" w:pos="720"/>
        </w:tabs>
        <w:ind w:left="720" w:hanging="360"/>
      </w:pPr>
      <w:rPr>
        <w:rFonts w:ascii="Symbol" w:hAnsi="Symbol" w:hint="default"/>
      </w:rPr>
    </w:lvl>
    <w:lvl w:ilvl="1" w:tplc="B9CC6CEE" w:tentative="1">
      <w:start w:val="1"/>
      <w:numFmt w:val="bullet"/>
      <w:lvlText w:val=""/>
      <w:lvlJc w:val="left"/>
      <w:pPr>
        <w:tabs>
          <w:tab w:val="num" w:pos="1440"/>
        </w:tabs>
        <w:ind w:left="1440" w:hanging="360"/>
      </w:pPr>
      <w:rPr>
        <w:rFonts w:ascii="Symbol" w:hAnsi="Symbol" w:hint="default"/>
      </w:rPr>
    </w:lvl>
    <w:lvl w:ilvl="2" w:tplc="4DCC060C" w:tentative="1">
      <w:start w:val="1"/>
      <w:numFmt w:val="bullet"/>
      <w:lvlText w:val=""/>
      <w:lvlJc w:val="left"/>
      <w:pPr>
        <w:tabs>
          <w:tab w:val="num" w:pos="2160"/>
        </w:tabs>
        <w:ind w:left="2160" w:hanging="360"/>
      </w:pPr>
      <w:rPr>
        <w:rFonts w:ascii="Symbol" w:hAnsi="Symbol" w:hint="default"/>
      </w:rPr>
    </w:lvl>
    <w:lvl w:ilvl="3" w:tplc="3782D92A" w:tentative="1">
      <w:start w:val="1"/>
      <w:numFmt w:val="bullet"/>
      <w:lvlText w:val=""/>
      <w:lvlJc w:val="left"/>
      <w:pPr>
        <w:tabs>
          <w:tab w:val="num" w:pos="2880"/>
        </w:tabs>
        <w:ind w:left="2880" w:hanging="360"/>
      </w:pPr>
      <w:rPr>
        <w:rFonts w:ascii="Symbol" w:hAnsi="Symbol" w:hint="default"/>
      </w:rPr>
    </w:lvl>
    <w:lvl w:ilvl="4" w:tplc="DD18A2A4" w:tentative="1">
      <w:start w:val="1"/>
      <w:numFmt w:val="bullet"/>
      <w:lvlText w:val=""/>
      <w:lvlJc w:val="left"/>
      <w:pPr>
        <w:tabs>
          <w:tab w:val="num" w:pos="3600"/>
        </w:tabs>
        <w:ind w:left="3600" w:hanging="360"/>
      </w:pPr>
      <w:rPr>
        <w:rFonts w:ascii="Symbol" w:hAnsi="Symbol" w:hint="default"/>
      </w:rPr>
    </w:lvl>
    <w:lvl w:ilvl="5" w:tplc="0B3A1222" w:tentative="1">
      <w:start w:val="1"/>
      <w:numFmt w:val="bullet"/>
      <w:lvlText w:val=""/>
      <w:lvlJc w:val="left"/>
      <w:pPr>
        <w:tabs>
          <w:tab w:val="num" w:pos="4320"/>
        </w:tabs>
        <w:ind w:left="4320" w:hanging="360"/>
      </w:pPr>
      <w:rPr>
        <w:rFonts w:ascii="Symbol" w:hAnsi="Symbol" w:hint="default"/>
      </w:rPr>
    </w:lvl>
    <w:lvl w:ilvl="6" w:tplc="EE14243E" w:tentative="1">
      <w:start w:val="1"/>
      <w:numFmt w:val="bullet"/>
      <w:lvlText w:val=""/>
      <w:lvlJc w:val="left"/>
      <w:pPr>
        <w:tabs>
          <w:tab w:val="num" w:pos="5040"/>
        </w:tabs>
        <w:ind w:left="5040" w:hanging="360"/>
      </w:pPr>
      <w:rPr>
        <w:rFonts w:ascii="Symbol" w:hAnsi="Symbol" w:hint="default"/>
      </w:rPr>
    </w:lvl>
    <w:lvl w:ilvl="7" w:tplc="E8220A46" w:tentative="1">
      <w:start w:val="1"/>
      <w:numFmt w:val="bullet"/>
      <w:lvlText w:val=""/>
      <w:lvlJc w:val="left"/>
      <w:pPr>
        <w:tabs>
          <w:tab w:val="num" w:pos="5760"/>
        </w:tabs>
        <w:ind w:left="5760" w:hanging="360"/>
      </w:pPr>
      <w:rPr>
        <w:rFonts w:ascii="Symbol" w:hAnsi="Symbol" w:hint="default"/>
      </w:rPr>
    </w:lvl>
    <w:lvl w:ilvl="8" w:tplc="6FE07B88" w:tentative="1">
      <w:start w:val="1"/>
      <w:numFmt w:val="bullet"/>
      <w:lvlText w:val=""/>
      <w:lvlJc w:val="left"/>
      <w:pPr>
        <w:tabs>
          <w:tab w:val="num" w:pos="6480"/>
        </w:tabs>
        <w:ind w:left="6480" w:hanging="360"/>
      </w:pPr>
      <w:rPr>
        <w:rFonts w:ascii="Symbol" w:hAnsi="Symbol" w:hint="default"/>
      </w:rPr>
    </w:lvl>
  </w:abstractNum>
  <w:abstractNum w:abstractNumId="1">
    <w:nsid w:val="686D5979"/>
    <w:multiLevelType w:val="multilevel"/>
    <w:tmpl w:val="75B62B2A"/>
    <w:lvl w:ilvl="0">
      <w:start w:val="1"/>
      <w:numFmt w:val="decimal"/>
      <w:pStyle w:val="numberedsteptext"/>
      <w:suff w:val="nothing"/>
      <w:lvlText w:val="%1."/>
      <w:lvlJc w:val="left"/>
      <w:rPr>
        <w:rFonts w:cs="Times New Roman" w:hint="default"/>
      </w:rPr>
    </w:lvl>
    <w:lvl w:ilvl="1">
      <w:start w:val="1"/>
      <w:numFmt w:val="decimal"/>
      <w:suff w:val="nothing"/>
      <w:lvlText w:val="%2."/>
      <w:lvlJc w:val="left"/>
      <w:pPr>
        <w:ind w:left="2518" w:hanging="360"/>
      </w:pPr>
      <w:rPr>
        <w:rFonts w:cs="Times New Roman" w:hint="default"/>
      </w:rPr>
    </w:lvl>
    <w:lvl w:ilvl="2">
      <w:start w:val="1"/>
      <w:numFmt w:val="decimal"/>
      <w:suff w:val="nothing"/>
      <w:lvlText w:val="%3."/>
      <w:lvlJc w:val="left"/>
      <w:pPr>
        <w:ind w:left="2878" w:hanging="360"/>
      </w:pPr>
      <w:rPr>
        <w:rFonts w:cs="Times New Roman" w:hint="default"/>
      </w:rPr>
    </w:lvl>
    <w:lvl w:ilvl="3">
      <w:start w:val="1"/>
      <w:numFmt w:val="decimal"/>
      <w:suff w:val="nothing"/>
      <w:lvlText w:val="%4."/>
      <w:lvlJc w:val="left"/>
      <w:pPr>
        <w:ind w:left="3238" w:hanging="360"/>
      </w:pPr>
      <w:rPr>
        <w:rFonts w:cs="Times New Roman" w:hint="default"/>
      </w:rPr>
    </w:lvl>
    <w:lvl w:ilvl="4">
      <w:start w:val="1"/>
      <w:numFmt w:val="decimal"/>
      <w:suff w:val="nothing"/>
      <w:lvlText w:val="%5."/>
      <w:lvlJc w:val="left"/>
      <w:pPr>
        <w:ind w:left="3598" w:hanging="360"/>
      </w:pPr>
      <w:rPr>
        <w:rFonts w:cs="Times New Roman" w:hint="default"/>
      </w:rPr>
    </w:lvl>
    <w:lvl w:ilvl="5">
      <w:start w:val="1"/>
      <w:numFmt w:val="decimal"/>
      <w:suff w:val="nothing"/>
      <w:lvlText w:val="%6."/>
      <w:lvlJc w:val="left"/>
      <w:pPr>
        <w:ind w:left="3958" w:hanging="360"/>
      </w:pPr>
      <w:rPr>
        <w:rFonts w:cs="Times New Roman" w:hint="default"/>
      </w:rPr>
    </w:lvl>
    <w:lvl w:ilvl="6">
      <w:start w:val="1"/>
      <w:numFmt w:val="decimal"/>
      <w:suff w:val="nothing"/>
      <w:lvlText w:val="%7."/>
      <w:lvlJc w:val="left"/>
      <w:pPr>
        <w:ind w:left="4318" w:hanging="360"/>
      </w:pPr>
      <w:rPr>
        <w:rFonts w:cs="Times New Roman" w:hint="default"/>
      </w:rPr>
    </w:lvl>
    <w:lvl w:ilvl="7">
      <w:start w:val="1"/>
      <w:numFmt w:val="decimal"/>
      <w:suff w:val="nothing"/>
      <w:lvlText w:val="%8."/>
      <w:lvlJc w:val="left"/>
      <w:pPr>
        <w:ind w:left="4678" w:hanging="360"/>
      </w:pPr>
      <w:rPr>
        <w:rFonts w:cs="Times New Roman" w:hint="default"/>
      </w:rPr>
    </w:lvl>
    <w:lvl w:ilvl="8">
      <w:start w:val="1"/>
      <w:numFmt w:val="decimal"/>
      <w:suff w:val="nothing"/>
      <w:lvlText w:val="%9."/>
      <w:lvlJc w:val="left"/>
      <w:pPr>
        <w:ind w:left="5038"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A0"/>
    <w:rsid w:val="00497201"/>
    <w:rsid w:val="0064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73806-6235-4BC5-AC6B-67224C4A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A0"/>
    <w:pPr>
      <w:spacing w:after="0" w:line="240" w:lineRule="auto"/>
    </w:pPr>
    <w:rPr>
      <w:rFonts w:ascii="Times New Roman" w:eastAsia="MingLiU" w:hAnsi="Times New Roman" w:cs="Times New Roman"/>
      <w:sz w:val="24"/>
      <w:szCs w:val="24"/>
    </w:rPr>
  </w:style>
  <w:style w:type="paragraph" w:styleId="Heading3">
    <w:name w:val="heading 3"/>
    <w:basedOn w:val="Normal"/>
    <w:next w:val="Normal"/>
    <w:link w:val="Heading3Char"/>
    <w:uiPriority w:val="99"/>
    <w:qFormat/>
    <w:rsid w:val="006477A0"/>
    <w:pPr>
      <w:keepNext/>
      <w:spacing w:before="240" w:after="60"/>
      <w:outlineLvl w:val="2"/>
    </w:pPr>
    <w:rPr>
      <w:rFonts w:ascii="Arial" w:eastAsia="Times New Roman" w:hAnsi="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title">
    <w:name w:val="titlepagetitle"/>
    <w:basedOn w:val="Normal"/>
    <w:link w:val="titlepagetitleChar"/>
    <w:uiPriority w:val="99"/>
    <w:rsid w:val="006477A0"/>
    <w:pPr>
      <w:jc w:val="center"/>
    </w:pPr>
    <w:rPr>
      <w:rFonts w:eastAsia="Times New Roman"/>
      <w:b/>
    </w:rPr>
  </w:style>
  <w:style w:type="character" w:customStyle="1" w:styleId="titlepagetitleChar">
    <w:name w:val="titlepagetitle Char"/>
    <w:link w:val="titlepagetitle"/>
    <w:uiPriority w:val="99"/>
    <w:locked/>
    <w:rsid w:val="006477A0"/>
    <w:rPr>
      <w:rFonts w:ascii="Times New Roman" w:eastAsia="Times New Roman" w:hAnsi="Times New Roman" w:cs="Times New Roman"/>
      <w:b/>
      <w:sz w:val="24"/>
      <w:szCs w:val="24"/>
    </w:rPr>
  </w:style>
  <w:style w:type="paragraph" w:customStyle="1" w:styleId="AFORWARD">
    <w:name w:val="AFORWARD"/>
    <w:basedOn w:val="Normal"/>
    <w:qFormat/>
    <w:rsid w:val="006477A0"/>
    <w:pPr>
      <w:keepNext/>
      <w:pBdr>
        <w:top w:val="single" w:sz="6" w:space="1" w:color="auto"/>
      </w:pBdr>
      <w:spacing w:before="240" w:after="240"/>
    </w:pPr>
    <w:rPr>
      <w:rFonts w:ascii="Arial" w:eastAsia="Times New Roman" w:hAnsi="Arial"/>
      <w:smallCaps/>
      <w:position w:val="-14"/>
      <w:sz w:val="36"/>
      <w:szCs w:val="20"/>
    </w:rPr>
  </w:style>
  <w:style w:type="character" w:customStyle="1" w:styleId="Heading3Char">
    <w:name w:val="Heading 3 Char"/>
    <w:basedOn w:val="DefaultParagraphFont"/>
    <w:link w:val="Heading3"/>
    <w:uiPriority w:val="99"/>
    <w:rsid w:val="006477A0"/>
    <w:rPr>
      <w:rFonts w:ascii="Arial" w:eastAsia="Times New Roman" w:hAnsi="Arial" w:cs="Times New Roman"/>
      <w:bCs/>
      <w:sz w:val="26"/>
      <w:szCs w:val="26"/>
    </w:rPr>
  </w:style>
  <w:style w:type="paragraph" w:customStyle="1" w:styleId="steptext">
    <w:name w:val="steptext"/>
    <w:basedOn w:val="Normal"/>
    <w:uiPriority w:val="99"/>
    <w:rsid w:val="006477A0"/>
    <w:rPr>
      <w:sz w:val="22"/>
      <w:szCs w:val="22"/>
    </w:rPr>
  </w:style>
  <w:style w:type="paragraph" w:customStyle="1" w:styleId="numberedsteptext">
    <w:name w:val="numberedsteptext"/>
    <w:basedOn w:val="steptext"/>
    <w:uiPriority w:val="99"/>
    <w:rsid w:val="006477A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737</Words>
  <Characters>4204</Characters>
  <Application>Microsoft Office Word</Application>
  <DocSecurity>0</DocSecurity>
  <Lines>35</Lines>
  <Paragraphs>9</Paragraphs>
  <ScaleCrop>false</ScaleCrop>
  <Company>University of Arizona - WNC</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Martin B - (hensleyb)</dc:creator>
  <cp:keywords/>
  <dc:description/>
  <cp:lastModifiedBy>Hensley, Martin B - (hensleyb)</cp:lastModifiedBy>
  <cp:revision>1</cp:revision>
  <dcterms:created xsi:type="dcterms:W3CDTF">2013-09-13T16:28:00Z</dcterms:created>
  <dcterms:modified xsi:type="dcterms:W3CDTF">2013-09-13T16:32:00Z</dcterms:modified>
</cp:coreProperties>
</file>