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0E" w:rsidRDefault="00E73F0E" w:rsidP="00653329">
      <w:pPr>
        <w:widowControl w:val="0"/>
        <w:spacing w:after="0"/>
        <w:rPr>
          <w:b/>
          <w:bCs/>
          <w:color w:val="auto"/>
          <w:szCs w:val="24"/>
          <w14:ligatures w14:val="none"/>
        </w:rPr>
      </w:pPr>
      <w:r w:rsidRPr="0082007B">
        <w:rPr>
          <w:b/>
          <w:bCs/>
          <w:color w:val="auto"/>
          <w:szCs w:val="24"/>
          <w14:ligatures w14:val="none"/>
        </w:rPr>
        <w:t>New Advisor Orientation</w:t>
      </w:r>
    </w:p>
    <w:p w:rsidR="00653329" w:rsidRPr="0082007B" w:rsidRDefault="00653329" w:rsidP="00653329">
      <w:pPr>
        <w:widowControl w:val="0"/>
        <w:spacing w:after="0"/>
        <w:rPr>
          <w:color w:val="auto"/>
          <w:szCs w:val="24"/>
          <w14:ligatures w14:val="none"/>
        </w:rPr>
      </w:pPr>
      <w:r>
        <w:rPr>
          <w:b/>
          <w:bCs/>
          <w:color w:val="auto"/>
          <w:szCs w:val="24"/>
          <w14:ligatures w14:val="none"/>
        </w:rPr>
        <w:t>8:30 – 1:00</w:t>
      </w:r>
    </w:p>
    <w:p w:rsidR="00653329" w:rsidRDefault="00653329" w:rsidP="0082007B">
      <w:pPr>
        <w:widowControl w:val="0"/>
        <w:rPr>
          <w:color w:val="auto"/>
          <w:sz w:val="20"/>
          <w14:ligatures w14:val="none"/>
        </w:rPr>
      </w:pPr>
    </w:p>
    <w:p w:rsidR="0082007B" w:rsidRDefault="001F106F" w:rsidP="0082007B">
      <w:pPr>
        <w:widowControl w:val="0"/>
        <w:rPr>
          <w:color w:val="auto"/>
          <w:sz w:val="20"/>
          <w14:ligatures w14:val="none"/>
        </w:rPr>
      </w:pPr>
      <w:r w:rsidRPr="0082007B">
        <w:rPr>
          <w:color w:val="auto"/>
          <w:sz w:val="20"/>
          <w14:ligatures w14:val="none"/>
        </w:rPr>
        <w:t xml:space="preserve">Have you been an academic advisor for less than one, two, or even three years?  The Advising Professional Development and Training Team </w:t>
      </w:r>
      <w:proofErr w:type="gramStart"/>
      <w:r w:rsidRPr="0082007B">
        <w:rPr>
          <w:color w:val="auto"/>
          <w:sz w:val="20"/>
          <w14:ligatures w14:val="none"/>
        </w:rPr>
        <w:t>is</w:t>
      </w:r>
      <w:proofErr w:type="gramEnd"/>
      <w:r w:rsidRPr="0082007B">
        <w:rPr>
          <w:color w:val="auto"/>
          <w:sz w:val="20"/>
          <w14:ligatures w14:val="none"/>
        </w:rPr>
        <w:t xml:space="preserve"> offering a half-day orientation for ‘new’ academic advisors on Friday, November 30.  The </w:t>
      </w:r>
      <w:r w:rsidRPr="0082007B">
        <w:rPr>
          <w:b/>
          <w:bCs/>
          <w:color w:val="auto"/>
          <w:sz w:val="20"/>
          <w14:ligatures w14:val="none"/>
        </w:rPr>
        <w:t>New Advisor Orientation</w:t>
      </w:r>
      <w:r w:rsidRPr="0082007B">
        <w:rPr>
          <w:color w:val="auto"/>
          <w:sz w:val="20"/>
          <w14:ligatures w14:val="none"/>
        </w:rPr>
        <w:t xml:space="preserve"> will begin at 8:30 a.m. and conclude by 1 p.m. We will host a working lunch to allow participants time to evaluate and assess the program just completed.  Following is an outline of what will be covered: </w:t>
      </w:r>
    </w:p>
    <w:p w:rsidR="00653329" w:rsidRDefault="00653329" w:rsidP="0082007B">
      <w:pPr>
        <w:widowControl w:val="0"/>
        <w:rPr>
          <w:b/>
          <w:bCs/>
          <w:color w:val="auto"/>
          <w:sz w:val="20"/>
          <w14:ligatures w14:val="none"/>
        </w:rPr>
      </w:pPr>
    </w:p>
    <w:p w:rsidR="0082007B" w:rsidRDefault="001F106F" w:rsidP="0082007B">
      <w:pPr>
        <w:widowControl w:val="0"/>
        <w:rPr>
          <w:b/>
          <w:bCs/>
          <w:color w:val="auto"/>
          <w:sz w:val="20"/>
          <w14:ligatures w14:val="none"/>
        </w:rPr>
      </w:pPr>
      <w:r w:rsidRPr="0082007B">
        <w:rPr>
          <w:b/>
          <w:bCs/>
          <w:color w:val="auto"/>
          <w:sz w:val="20"/>
          <w14:ligatures w14:val="none"/>
        </w:rPr>
        <w:t>Advising Foundations by Rox</w:t>
      </w:r>
      <w:r w:rsidR="0082007B">
        <w:rPr>
          <w:b/>
          <w:bCs/>
          <w:color w:val="auto"/>
          <w:sz w:val="20"/>
          <w14:ligatures w14:val="none"/>
        </w:rPr>
        <w:t>ie Catts</w:t>
      </w:r>
      <w:r w:rsidRPr="0082007B">
        <w:rPr>
          <w:b/>
          <w:bCs/>
          <w:color w:val="auto"/>
          <w:sz w:val="20"/>
          <w14:ligatures w14:val="none"/>
        </w:rPr>
        <w:t xml:space="preserve"> </w:t>
      </w:r>
    </w:p>
    <w:p w:rsidR="0082007B" w:rsidRDefault="001F106F" w:rsidP="0082007B">
      <w:pPr>
        <w:widowControl w:val="0"/>
        <w:rPr>
          <w:b/>
          <w:bCs/>
          <w:color w:val="auto"/>
          <w:sz w:val="20"/>
          <w14:ligatures w14:val="none"/>
        </w:rPr>
      </w:pPr>
      <w:r w:rsidRPr="0082007B">
        <w:rPr>
          <w:color w:val="auto"/>
          <w:sz w:val="20"/>
          <w14:ligatures w14:val="none"/>
        </w:rPr>
        <w:t>How did we get to where we are today?  This session includes an overview of academic advising, the advising structure at the UA, and the responsibilities of the student, academic advisor and institution.  The role of the Advising Resource Center (ARC), ARC website, and professional resources including NACADA, the University Academic Advising Council (UAAC), and the University Professional Advising Council (UPAC) will be reviewed.</w:t>
      </w:r>
      <w:r w:rsidR="0082007B">
        <w:rPr>
          <w:color w:val="auto"/>
          <w:sz w:val="20"/>
          <w14:ligatures w14:val="none"/>
        </w:rPr>
        <w:t xml:space="preserve"> </w:t>
      </w:r>
    </w:p>
    <w:p w:rsidR="00653329" w:rsidRDefault="00653329" w:rsidP="0082007B">
      <w:pPr>
        <w:widowControl w:val="0"/>
        <w:rPr>
          <w:b/>
          <w:bCs/>
          <w:color w:val="auto"/>
          <w:sz w:val="20"/>
          <w14:ligatures w14:val="none"/>
        </w:rPr>
      </w:pPr>
    </w:p>
    <w:p w:rsidR="0082007B" w:rsidRDefault="0082007B" w:rsidP="0082007B">
      <w:pPr>
        <w:widowControl w:val="0"/>
        <w:rPr>
          <w:b/>
          <w:bCs/>
          <w:color w:val="auto"/>
          <w:sz w:val="20"/>
          <w14:ligatures w14:val="none"/>
        </w:rPr>
      </w:pPr>
      <w:r>
        <w:rPr>
          <w:b/>
          <w:bCs/>
          <w:color w:val="auto"/>
          <w:sz w:val="20"/>
          <w14:ligatures w14:val="none"/>
        </w:rPr>
        <w:t>S</w:t>
      </w:r>
      <w:r w:rsidR="001F106F" w:rsidRPr="0082007B">
        <w:rPr>
          <w:b/>
          <w:bCs/>
          <w:color w:val="auto"/>
          <w:sz w:val="20"/>
          <w14:ligatures w14:val="none"/>
        </w:rPr>
        <w:t>tudent Populations and Advising Re</w:t>
      </w:r>
      <w:r>
        <w:rPr>
          <w:b/>
          <w:bCs/>
          <w:color w:val="auto"/>
          <w:sz w:val="20"/>
          <w14:ligatures w14:val="none"/>
        </w:rPr>
        <w:t>sources by Renée Schafer Horton</w:t>
      </w:r>
      <w:r w:rsidR="001F106F" w:rsidRPr="0082007B">
        <w:rPr>
          <w:b/>
          <w:bCs/>
          <w:color w:val="auto"/>
          <w:sz w:val="20"/>
          <w14:ligatures w14:val="none"/>
        </w:rPr>
        <w:t xml:space="preserve"> </w:t>
      </w:r>
    </w:p>
    <w:p w:rsidR="0082007B" w:rsidRDefault="001F106F" w:rsidP="0082007B">
      <w:pPr>
        <w:widowControl w:val="0"/>
        <w:rPr>
          <w:color w:val="auto"/>
          <w:sz w:val="20"/>
          <w14:ligatures w14:val="none"/>
        </w:rPr>
      </w:pPr>
      <w:r w:rsidRPr="0082007B">
        <w:rPr>
          <w:color w:val="auto"/>
          <w:sz w:val="20"/>
          <w14:ligatures w14:val="none"/>
        </w:rPr>
        <w:t xml:space="preserve">In order to help new advisors “know their audience,” this session will offer an overview of the UA general student population, give an introduction to the special and diverse student populations present on campus, review online resources for advisors and students from specific populations, and conclude with general tips on thriving in the academic advising field.  </w:t>
      </w:r>
    </w:p>
    <w:p w:rsidR="00653329" w:rsidRDefault="00653329" w:rsidP="0082007B">
      <w:pPr>
        <w:widowControl w:val="0"/>
        <w:rPr>
          <w:b/>
          <w:bCs/>
          <w:color w:val="auto"/>
          <w:sz w:val="20"/>
          <w14:ligatures w14:val="none"/>
        </w:rPr>
      </w:pPr>
    </w:p>
    <w:p w:rsidR="0082007B" w:rsidRDefault="001F106F" w:rsidP="0082007B">
      <w:pPr>
        <w:widowControl w:val="0"/>
        <w:rPr>
          <w:b/>
          <w:bCs/>
          <w:color w:val="auto"/>
          <w:sz w:val="20"/>
          <w14:ligatures w14:val="none"/>
        </w:rPr>
      </w:pPr>
      <w:r w:rsidRPr="0082007B">
        <w:rPr>
          <w:b/>
          <w:bCs/>
          <w:color w:val="auto"/>
          <w:sz w:val="20"/>
          <w14:ligatures w14:val="none"/>
        </w:rPr>
        <w:t xml:space="preserve">Communication and Interpersonal Skills by Christy Ball  </w:t>
      </w:r>
    </w:p>
    <w:p w:rsidR="0082007B" w:rsidRDefault="0082007B" w:rsidP="0082007B">
      <w:pPr>
        <w:widowControl w:val="0"/>
        <w:rPr>
          <w:color w:val="auto"/>
          <w:sz w:val="20"/>
          <w14:ligatures w14:val="none"/>
        </w:rPr>
      </w:pPr>
      <w:r>
        <w:rPr>
          <w:color w:val="auto"/>
          <w:sz w:val="20"/>
          <w14:ligatures w14:val="none"/>
        </w:rPr>
        <w:t>O</w:t>
      </w:r>
      <w:r w:rsidR="001F106F" w:rsidRPr="0082007B">
        <w:rPr>
          <w:color w:val="auto"/>
          <w:sz w:val="20"/>
          <w14:ligatures w14:val="none"/>
        </w:rPr>
        <w:t xml:space="preserve">ur roles as Academic Advisors are to serve all students; prospective, transfer, current, declared and undeclared etc.  Each department and college has different rules and it is our job to help students navigate their way through the UA experience.  This session focuses on how we as advisors do this. The advising relationship can make a large impact on a student’s experience. Each of us is unique, just like our students, therefore how we all relate and establish relationships with students will be different.  There are some fundamental elements to include when establishing an Advising relationship and building rapport.  We will discuss non-verbal communication, displaying empathy, active listening, clarifying and the use of open-ended questions.  Finally, authenticity and integrity will be discussed and how these characteristics relate when working with students.  </w:t>
      </w:r>
    </w:p>
    <w:p w:rsidR="00653329" w:rsidRDefault="00653329" w:rsidP="0082007B">
      <w:pPr>
        <w:widowControl w:val="0"/>
        <w:rPr>
          <w:b/>
          <w:bCs/>
          <w:color w:val="auto"/>
          <w:sz w:val="20"/>
          <w14:ligatures w14:val="none"/>
        </w:rPr>
      </w:pPr>
    </w:p>
    <w:p w:rsidR="0082007B" w:rsidRDefault="001F106F" w:rsidP="0082007B">
      <w:pPr>
        <w:widowControl w:val="0"/>
        <w:rPr>
          <w:b/>
          <w:bCs/>
          <w:color w:val="auto"/>
          <w:sz w:val="20"/>
          <w14:ligatures w14:val="none"/>
        </w:rPr>
      </w:pPr>
      <w:r w:rsidRPr="0082007B">
        <w:rPr>
          <w:b/>
          <w:bCs/>
          <w:color w:val="auto"/>
          <w:sz w:val="20"/>
          <w14:ligatures w14:val="none"/>
        </w:rPr>
        <w:t>Advisor Notes by Nancy Stiller</w:t>
      </w:r>
    </w:p>
    <w:p w:rsidR="0082007B" w:rsidRDefault="001F106F" w:rsidP="0082007B">
      <w:pPr>
        <w:widowControl w:val="0"/>
        <w:rPr>
          <w:color w:val="auto"/>
          <w:sz w:val="20"/>
          <w14:ligatures w14:val="none"/>
        </w:rPr>
      </w:pPr>
      <w:r w:rsidRPr="0082007B">
        <w:rPr>
          <w:iCs/>
          <w:color w:val="auto"/>
          <w:sz w:val="20"/>
          <w14:ligatures w14:val="none"/>
        </w:rPr>
        <w:t xml:space="preserve">In this session, we will talk about “best practices” for using the UAccess Advisor Note System.  Specifically, the session covers the importance of using Advisor Notes, the four parts of a good advisor note, writing accurate and appropriate notes, and improving your efficiency in using the note system. </w:t>
      </w:r>
      <w:r w:rsidRPr="0082007B">
        <w:rPr>
          <w:color w:val="auto"/>
          <w:sz w:val="20"/>
          <w14:ligatures w14:val="none"/>
        </w:rPr>
        <w:t xml:space="preserve"> </w:t>
      </w:r>
    </w:p>
    <w:p w:rsidR="00653329" w:rsidRDefault="00653329" w:rsidP="0082007B">
      <w:pPr>
        <w:widowControl w:val="0"/>
        <w:rPr>
          <w:b/>
          <w:bCs/>
          <w:color w:val="auto"/>
          <w:sz w:val="20"/>
          <w14:ligatures w14:val="none"/>
        </w:rPr>
      </w:pPr>
    </w:p>
    <w:p w:rsidR="00653329" w:rsidRDefault="00653329" w:rsidP="0082007B">
      <w:pPr>
        <w:widowControl w:val="0"/>
        <w:rPr>
          <w:b/>
          <w:bCs/>
          <w:color w:val="auto"/>
          <w:sz w:val="20"/>
          <w14:ligatures w14:val="none"/>
        </w:rPr>
      </w:pPr>
    </w:p>
    <w:p w:rsidR="0082007B" w:rsidRDefault="001F106F" w:rsidP="0082007B">
      <w:pPr>
        <w:widowControl w:val="0"/>
        <w:rPr>
          <w:b/>
          <w:bCs/>
          <w:color w:val="auto"/>
          <w:sz w:val="20"/>
          <w14:ligatures w14:val="none"/>
        </w:rPr>
      </w:pPr>
      <w:r w:rsidRPr="0082007B">
        <w:rPr>
          <w:b/>
          <w:bCs/>
          <w:color w:val="auto"/>
          <w:sz w:val="20"/>
          <w14:ligatures w14:val="none"/>
        </w:rPr>
        <w:t>Life Cycle of a Student by Sarah Wieland</w:t>
      </w:r>
    </w:p>
    <w:p w:rsidR="0082007B" w:rsidRDefault="001F106F" w:rsidP="0082007B">
      <w:pPr>
        <w:widowControl w:val="0"/>
        <w:rPr>
          <w:color w:val="auto"/>
          <w:sz w:val="20"/>
          <w14:ligatures w14:val="none"/>
        </w:rPr>
      </w:pPr>
      <w:r w:rsidRPr="0082007B">
        <w:rPr>
          <w:color w:val="auto"/>
          <w:sz w:val="20"/>
          <w14:ligatures w14:val="none"/>
        </w:rPr>
        <w:t xml:space="preserve">From prospective student to University of Arizona graduate, follow a student through what it takes to successfully get started and what a student’s record will look like at each stage of the process. </w:t>
      </w:r>
    </w:p>
    <w:p w:rsidR="00653329" w:rsidRDefault="00653329" w:rsidP="0082007B">
      <w:pPr>
        <w:widowControl w:val="0"/>
        <w:rPr>
          <w:b/>
          <w:bCs/>
          <w:color w:val="auto"/>
          <w:sz w:val="20"/>
          <w14:ligatures w14:val="none"/>
        </w:rPr>
      </w:pPr>
    </w:p>
    <w:p w:rsidR="0082007B" w:rsidRDefault="001F106F" w:rsidP="0082007B">
      <w:pPr>
        <w:widowControl w:val="0"/>
        <w:rPr>
          <w:b/>
          <w:bCs/>
          <w:color w:val="auto"/>
          <w:sz w:val="20"/>
          <w14:ligatures w14:val="none"/>
        </w:rPr>
      </w:pPr>
      <w:r w:rsidRPr="0082007B">
        <w:rPr>
          <w:b/>
          <w:bCs/>
          <w:color w:val="auto"/>
          <w:sz w:val="20"/>
          <w14:ligatures w14:val="none"/>
        </w:rPr>
        <w:t>Transfer Credit by Lindsay Wedge</w:t>
      </w:r>
    </w:p>
    <w:p w:rsidR="0082007B" w:rsidRDefault="001F106F" w:rsidP="0082007B">
      <w:pPr>
        <w:widowControl w:val="0"/>
        <w:rPr>
          <w:color w:val="auto"/>
          <w:sz w:val="20"/>
          <w14:ligatures w14:val="none"/>
        </w:rPr>
      </w:pPr>
      <w:r w:rsidRPr="0082007B">
        <w:rPr>
          <w:color w:val="auto"/>
          <w:sz w:val="20"/>
          <w14:ligatures w14:val="none"/>
        </w:rPr>
        <w:t xml:space="preserve">This session will include a look at the AZ Transfer website specifically the Course Equivalency pages and an overview of the course and test credit policies and how both get processed in UAccess.  Finally, we will discuss “Good to Know” items such as; model, group and sequence numbers, model statuses, requirement designators, exceptions and transfer credit summaries.  </w:t>
      </w:r>
    </w:p>
    <w:p w:rsidR="00653329" w:rsidRDefault="00653329" w:rsidP="0082007B">
      <w:pPr>
        <w:widowControl w:val="0"/>
        <w:rPr>
          <w:b/>
          <w:bCs/>
          <w:color w:val="auto"/>
          <w:sz w:val="20"/>
          <w14:ligatures w14:val="none"/>
        </w:rPr>
      </w:pPr>
    </w:p>
    <w:p w:rsidR="001F106F" w:rsidRPr="0082007B" w:rsidRDefault="001F106F" w:rsidP="0082007B">
      <w:pPr>
        <w:widowControl w:val="0"/>
        <w:rPr>
          <w:b/>
          <w:bCs/>
          <w:color w:val="auto"/>
          <w:sz w:val="20"/>
          <w14:ligatures w14:val="none"/>
        </w:rPr>
      </w:pPr>
      <w:r w:rsidRPr="0082007B">
        <w:rPr>
          <w:b/>
          <w:bCs/>
          <w:color w:val="auto"/>
          <w:sz w:val="20"/>
          <w14:ligatures w14:val="none"/>
        </w:rPr>
        <w:t xml:space="preserve">Program Discussion and Evaluation </w:t>
      </w:r>
    </w:p>
    <w:p w:rsidR="00653329" w:rsidRDefault="00653329" w:rsidP="008E7093">
      <w:pPr>
        <w:widowControl w:val="0"/>
        <w:spacing w:after="0"/>
        <w:rPr>
          <w:rFonts w:ascii="ITC Berkeley Oldstyle Std" w:hAnsi="ITC Berkeley Oldstyle Std"/>
          <w:b/>
          <w:bCs/>
          <w:color w:val="auto"/>
          <w:sz w:val="18"/>
          <w:szCs w:val="18"/>
          <w14:ligatures w14:val="none"/>
        </w:rPr>
      </w:pPr>
    </w:p>
    <w:p w:rsidR="008E7093" w:rsidRPr="008E7093" w:rsidRDefault="0082007B" w:rsidP="008E7093">
      <w:pPr>
        <w:widowControl w:val="0"/>
        <w:spacing w:after="0"/>
        <w:rPr>
          <w:rFonts w:ascii="ITC Berkeley Oldstyle Std" w:hAnsi="ITC Berkeley Oldstyle Std"/>
          <w:b/>
          <w:bCs/>
          <w:color w:val="auto"/>
          <w:sz w:val="18"/>
          <w:szCs w:val="18"/>
          <w14:ligatures w14:val="none"/>
        </w:rPr>
      </w:pPr>
      <w:bookmarkStart w:id="0" w:name="_GoBack"/>
      <w:bookmarkEnd w:id="0"/>
      <w:r>
        <w:rPr>
          <w:rFonts w:ascii="ITC Berkeley Oldstyle Std" w:hAnsi="ITC Berkeley Oldstyle Std"/>
          <w:b/>
          <w:bCs/>
          <w:color w:val="auto"/>
          <w:sz w:val="18"/>
          <w:szCs w:val="18"/>
          <w14:ligatures w14:val="none"/>
        </w:rPr>
        <w:t>A</w:t>
      </w:r>
      <w:r w:rsidR="001F106F" w:rsidRPr="008E7093">
        <w:rPr>
          <w:rFonts w:ascii="ITC Berkeley Oldstyle Std" w:hAnsi="ITC Berkeley Oldstyle Std"/>
          <w:b/>
          <w:bCs/>
          <w:color w:val="auto"/>
          <w:sz w:val="18"/>
          <w:szCs w:val="18"/>
          <w14:ligatures w14:val="none"/>
        </w:rPr>
        <w:t>dvisement Reports and Exceptions by Kristin Eaton</w:t>
      </w:r>
    </w:p>
    <w:p w:rsidR="001F106F" w:rsidRPr="008E7093" w:rsidRDefault="001F106F" w:rsidP="008E7093">
      <w:pPr>
        <w:widowControl w:val="0"/>
        <w:spacing w:after="0"/>
        <w:rPr>
          <w:rFonts w:ascii="ITC Berkeley Oldstyle Std" w:hAnsi="ITC Berkeley Oldstyle Std"/>
          <w:b/>
          <w:bCs/>
          <w:color w:val="auto"/>
          <w:sz w:val="18"/>
          <w:szCs w:val="18"/>
          <w14:ligatures w14:val="none"/>
        </w:rPr>
      </w:pPr>
      <w:r w:rsidRPr="008E7093">
        <w:rPr>
          <w:rFonts w:ascii="ITC Berkeley Oldstyle Std" w:hAnsi="ITC Berkeley Oldstyle Std"/>
          <w:b/>
          <w:bCs/>
          <w:iCs/>
          <w:color w:val="auto"/>
          <w:sz w:val="18"/>
          <w:szCs w:val="18"/>
          <w14:ligatures w14:val="none"/>
        </w:rPr>
        <w:t>Required training for advising exception access</w:t>
      </w:r>
    </w:p>
    <w:p w:rsidR="00420CC2" w:rsidRPr="008E7093" w:rsidRDefault="00420CC2" w:rsidP="008E7093">
      <w:pPr>
        <w:widowControl w:val="0"/>
        <w:tabs>
          <w:tab w:val="left" w:pos="43"/>
          <w:tab w:val="left" w:pos="219"/>
        </w:tabs>
        <w:spacing w:after="0"/>
        <w:rPr>
          <w:rFonts w:ascii="ITC Berkeley Oldstyle Std" w:hAnsi="ITC Berkeley Oldstyle Std"/>
          <w:b/>
          <w:bCs/>
          <w:iCs/>
          <w:color w:val="auto"/>
          <w:sz w:val="18"/>
          <w:szCs w:val="18"/>
          <w14:ligatures w14:val="none"/>
        </w:rPr>
      </w:pPr>
      <w:r w:rsidRPr="008E7093">
        <w:rPr>
          <w:rFonts w:ascii="ITC Berkeley Oldstyle Std" w:hAnsi="ITC Berkeley Oldstyle Std"/>
          <w:b/>
          <w:bCs/>
          <w:iCs/>
          <w:color w:val="auto"/>
          <w:sz w:val="18"/>
          <w:szCs w:val="18"/>
          <w14:ligatures w14:val="none"/>
        </w:rPr>
        <w:t xml:space="preserve">1:30 </w:t>
      </w:r>
      <w:r w:rsidR="008E7093" w:rsidRPr="008E7093">
        <w:rPr>
          <w:rFonts w:ascii="ITC Berkeley Oldstyle Std" w:hAnsi="ITC Berkeley Oldstyle Std"/>
          <w:b/>
          <w:bCs/>
          <w:iCs/>
          <w:color w:val="auto"/>
          <w:sz w:val="18"/>
          <w:szCs w:val="18"/>
          <w14:ligatures w14:val="none"/>
        </w:rPr>
        <w:t>–</w:t>
      </w:r>
      <w:r w:rsidRPr="008E7093">
        <w:rPr>
          <w:rFonts w:ascii="ITC Berkeley Oldstyle Std" w:hAnsi="ITC Berkeley Oldstyle Std"/>
          <w:b/>
          <w:bCs/>
          <w:iCs/>
          <w:color w:val="auto"/>
          <w:sz w:val="18"/>
          <w:szCs w:val="18"/>
          <w14:ligatures w14:val="none"/>
        </w:rPr>
        <w:t xml:space="preserve"> </w:t>
      </w:r>
      <w:r w:rsidR="008E7093" w:rsidRPr="008E7093">
        <w:rPr>
          <w:rFonts w:ascii="ITC Berkeley Oldstyle Std" w:hAnsi="ITC Berkeley Oldstyle Std"/>
          <w:b/>
          <w:bCs/>
          <w:iCs/>
          <w:color w:val="auto"/>
          <w:sz w:val="18"/>
          <w:szCs w:val="18"/>
          <w14:ligatures w14:val="none"/>
        </w:rPr>
        <w:t>3:30</w:t>
      </w:r>
    </w:p>
    <w:p w:rsidR="001C627E" w:rsidRDefault="001F106F" w:rsidP="001F106F">
      <w:pPr>
        <w:spacing w:after="0"/>
        <w:ind w:left="72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w:t>
      </w:r>
    </w:p>
    <w:p w:rsidR="001F106F" w:rsidRPr="008E7093" w:rsidRDefault="001F106F" w:rsidP="0082007B">
      <w:pPr>
        <w:spacing w:after="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lastRenderedPageBreak/>
        <w:t>This session will cover the process of entering exceptions to a student’s advisement report using course directive, requirement change, and requirement waiver exceptions.  Basic functions of UAccess Student such as viewing transferring and test credit and running academic advisement reports will also be reviewed.  The training covered in this session is required for access to student advising exceptions.</w:t>
      </w:r>
    </w:p>
    <w:p w:rsidR="001F106F" w:rsidRPr="008E7093" w:rsidRDefault="001F106F" w:rsidP="001F106F">
      <w:pPr>
        <w:spacing w:after="0"/>
        <w:ind w:left="720" w:firstLine="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Generating the Advisement Report</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Basics of the Advising Report</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Requirement Groups, Requirements, and Lines</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xml:space="preserve">Viewing Transfer and Test Credit </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Entering Course Directive Exceptions / Course Pairing</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Entering Requirement Change Exceptions</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Entering Requirement Waiver Exceptions</w:t>
      </w:r>
    </w:p>
    <w:p w:rsidR="001F106F" w:rsidRPr="008E7093" w:rsidRDefault="001F106F" w:rsidP="001F106F">
      <w:pPr>
        <w:spacing w:after="0"/>
        <w:ind w:left="1440" w:hanging="36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Appropriate Instances to Enter Exceptions</w:t>
      </w:r>
    </w:p>
    <w:p w:rsidR="001F106F" w:rsidRPr="008E7093" w:rsidRDefault="001F106F" w:rsidP="001F106F">
      <w:pPr>
        <w:spacing w:after="0"/>
        <w:ind w:left="720" w:firstLine="45"/>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w:t>
      </w:r>
    </w:p>
    <w:p w:rsidR="001F106F" w:rsidRPr="008E7093" w:rsidRDefault="001F106F" w:rsidP="0082007B">
      <w:pPr>
        <w:widowControl w:val="0"/>
        <w:spacing w:after="0"/>
        <w:rPr>
          <w:rFonts w:ascii="ITC Berkeley Oldstyle Std" w:hAnsi="ITC Berkeley Oldstyle Std"/>
          <w:b/>
          <w:bCs/>
          <w:color w:val="auto"/>
          <w:sz w:val="18"/>
          <w:szCs w:val="18"/>
          <w14:ligatures w14:val="none"/>
        </w:rPr>
      </w:pPr>
      <w:r w:rsidRPr="008E7093">
        <w:rPr>
          <w:rFonts w:ascii="ITC Berkeley Oldstyle Std" w:hAnsi="ITC Berkeley Oldstyle Std"/>
          <w:b/>
          <w:bCs/>
          <w:color w:val="auto"/>
          <w:sz w:val="18"/>
          <w:szCs w:val="18"/>
          <w14:ligatures w14:val="none"/>
        </w:rPr>
        <w:t xml:space="preserve">Prerequisites: </w:t>
      </w:r>
      <w:r w:rsidRPr="008E7093">
        <w:rPr>
          <w:rFonts w:ascii="ITC Berkeley Oldstyle Std" w:hAnsi="ITC Berkeley Oldstyle Std"/>
          <w:color w:val="auto"/>
          <w:sz w:val="18"/>
          <w:szCs w:val="18"/>
          <w14:ligatures w14:val="none"/>
        </w:rPr>
        <w:t xml:space="preserve">FERPA, Acceptable Use Agreement, Sexual Harassment, UAccess Student Fundamentals, Academic Advising Basics. </w:t>
      </w:r>
    </w:p>
    <w:p w:rsidR="001F106F" w:rsidRPr="008E7093" w:rsidRDefault="001F106F" w:rsidP="001F106F">
      <w:pPr>
        <w:widowControl w:val="0"/>
        <w:spacing w:after="0"/>
        <w:ind w:left="72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w:t>
      </w:r>
    </w:p>
    <w:p w:rsidR="001F106F" w:rsidRPr="008E7093" w:rsidRDefault="001F106F" w:rsidP="0082007B">
      <w:pPr>
        <w:widowControl w:val="0"/>
        <w:spacing w:after="0"/>
        <w:rPr>
          <w:rFonts w:ascii="ITC Berkeley Oldstyle Std" w:hAnsi="ITC Berkeley Oldstyle Std"/>
          <w:color w:val="auto"/>
          <w:sz w:val="18"/>
          <w:szCs w:val="18"/>
          <w14:ligatures w14:val="none"/>
        </w:rPr>
      </w:pPr>
      <w:r w:rsidRPr="008E7093">
        <w:rPr>
          <w:rFonts w:ascii="ITC Berkeley Oldstyle Std" w:hAnsi="ITC Berkeley Oldstyle Std"/>
          <w:b/>
          <w:bCs/>
          <w:color w:val="auto"/>
          <w:sz w:val="18"/>
          <w:szCs w:val="18"/>
          <w14:ligatures w14:val="none"/>
        </w:rPr>
        <w:t xml:space="preserve">Recommended Additional Training: </w:t>
      </w:r>
      <w:r w:rsidRPr="008E7093">
        <w:rPr>
          <w:rFonts w:ascii="ITC Berkeley Oldstyle Std" w:hAnsi="ITC Berkeley Oldstyle Std"/>
          <w:color w:val="auto"/>
          <w:sz w:val="18"/>
          <w:szCs w:val="18"/>
          <w14:ligatures w14:val="none"/>
        </w:rPr>
        <w:t>UAccess Analytics Basic Reports and Dashboards</w:t>
      </w:r>
    </w:p>
    <w:p w:rsidR="001F106F" w:rsidRPr="008E7093" w:rsidRDefault="001F106F" w:rsidP="001F106F">
      <w:pPr>
        <w:widowControl w:val="0"/>
        <w:spacing w:after="0"/>
        <w:ind w:left="72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 </w:t>
      </w:r>
    </w:p>
    <w:p w:rsidR="001F106F" w:rsidRPr="008E7093" w:rsidRDefault="001F106F" w:rsidP="0082007B">
      <w:pPr>
        <w:widowControl w:val="0"/>
        <w:spacing w:after="0"/>
        <w:rPr>
          <w:rFonts w:ascii="ITC Berkeley Oldstyle Std" w:hAnsi="ITC Berkeley Oldstyle Std"/>
          <w:b/>
          <w:bCs/>
          <w:color w:val="auto"/>
          <w:sz w:val="18"/>
          <w:szCs w:val="18"/>
          <w14:ligatures w14:val="none"/>
        </w:rPr>
      </w:pPr>
      <w:r w:rsidRPr="008E7093">
        <w:rPr>
          <w:rFonts w:ascii="ITC Berkeley Oldstyle Std" w:hAnsi="ITC Berkeley Oldstyle Std"/>
          <w:b/>
          <w:bCs/>
          <w:color w:val="auto"/>
          <w:sz w:val="18"/>
          <w:szCs w:val="18"/>
          <w14:ligatures w14:val="none"/>
        </w:rPr>
        <w:t xml:space="preserve">Additional Required Training (depending on role in </w:t>
      </w:r>
      <w:proofErr w:type="spellStart"/>
      <w:r w:rsidRPr="008E7093">
        <w:rPr>
          <w:rFonts w:ascii="ITC Berkeley Oldstyle Std" w:hAnsi="ITC Berkeley Oldstyle Std"/>
          <w:b/>
          <w:bCs/>
          <w:color w:val="auto"/>
          <w:sz w:val="18"/>
          <w:szCs w:val="18"/>
          <w14:ligatures w14:val="none"/>
        </w:rPr>
        <w:t>dept</w:t>
      </w:r>
      <w:proofErr w:type="spellEnd"/>
      <w:r w:rsidRPr="008E7093">
        <w:rPr>
          <w:rFonts w:ascii="ITC Berkeley Oldstyle Std" w:hAnsi="ITC Berkeley Oldstyle Std"/>
          <w:b/>
          <w:bCs/>
          <w:color w:val="auto"/>
          <w:sz w:val="18"/>
          <w:szCs w:val="18"/>
          <w14:ligatures w14:val="none"/>
        </w:rPr>
        <w:t>/college):</w:t>
      </w:r>
    </w:p>
    <w:p w:rsidR="001F106F" w:rsidRPr="008E7093" w:rsidRDefault="001F106F" w:rsidP="0082007B">
      <w:pPr>
        <w:widowControl w:val="0"/>
        <w:spacing w:after="0"/>
        <w:ind w:left="108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Enrollment – SR for Department and College Users</w:t>
      </w:r>
    </w:p>
    <w:p w:rsidR="001F106F" w:rsidRPr="008E7093" w:rsidRDefault="001F106F" w:rsidP="0082007B">
      <w:pPr>
        <w:widowControl w:val="0"/>
        <w:spacing w:after="0"/>
        <w:ind w:left="108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Service Indicators</w:t>
      </w:r>
    </w:p>
    <w:p w:rsidR="001F106F" w:rsidRPr="008E7093" w:rsidRDefault="001F106F" w:rsidP="0082007B">
      <w:pPr>
        <w:widowControl w:val="0"/>
        <w:spacing w:after="0"/>
        <w:ind w:left="108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Student Groups</w:t>
      </w:r>
    </w:p>
    <w:p w:rsidR="001F106F" w:rsidRPr="008E7093" w:rsidRDefault="001F106F" w:rsidP="0082007B">
      <w:pPr>
        <w:widowControl w:val="0"/>
        <w:spacing w:after="0"/>
        <w:ind w:left="1080"/>
        <w:rPr>
          <w:rFonts w:ascii="ITC Berkeley Oldstyle Std" w:hAnsi="ITC Berkeley Oldstyle Std"/>
          <w:color w:val="auto"/>
          <w:sz w:val="18"/>
          <w:szCs w:val="18"/>
          <w14:ligatures w14:val="none"/>
        </w:rPr>
      </w:pPr>
      <w:r w:rsidRPr="008E7093">
        <w:rPr>
          <w:rFonts w:ascii="ITC Berkeley Oldstyle Std" w:hAnsi="ITC Berkeley Oldstyle Std"/>
          <w:color w:val="auto"/>
          <w:sz w:val="18"/>
          <w:szCs w:val="18"/>
          <w14:ligatures w14:val="none"/>
        </w:rPr>
        <w:t>Managing the Program/Plan Component</w:t>
      </w:r>
    </w:p>
    <w:p w:rsidR="001F106F" w:rsidRPr="008E7093" w:rsidRDefault="001F106F" w:rsidP="001F106F">
      <w:pPr>
        <w:widowControl w:val="0"/>
        <w:rPr>
          <w:color w:val="auto"/>
          <w14:ligatures w14:val="none"/>
        </w:rPr>
      </w:pPr>
      <w:r w:rsidRPr="008E7093">
        <w:rPr>
          <w:color w:val="auto"/>
          <w14:ligatures w14:val="none"/>
        </w:rPr>
        <w:t> </w:t>
      </w:r>
    </w:p>
    <w:p w:rsidR="00760E81" w:rsidRPr="008E7093" w:rsidRDefault="00760E81">
      <w:pPr>
        <w:rPr>
          <w:color w:val="auto"/>
        </w:rPr>
      </w:pPr>
    </w:p>
    <w:sectPr w:rsidR="00760E81" w:rsidRPr="008E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TC Berkeley Oldstyle Std Bk">
    <w:charset w:val="00"/>
    <w:family w:val="auto"/>
    <w:pitch w:val="default"/>
    <w:sig w:usb0="800000AF" w:usb1="4000204A" w:usb2="00000000" w:usb3="00000000" w:csb0="00000001" w:csb1="00000000"/>
  </w:font>
  <w:font w:name="ITC Berkeley Oldstyle Std">
    <w:charset w:val="00"/>
    <w:family w:val="auto"/>
    <w:pitch w:val="default"/>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6F"/>
    <w:rsid w:val="00022292"/>
    <w:rsid w:val="001C627E"/>
    <w:rsid w:val="001F106F"/>
    <w:rsid w:val="00420CC2"/>
    <w:rsid w:val="00653329"/>
    <w:rsid w:val="00760E81"/>
    <w:rsid w:val="0082007B"/>
    <w:rsid w:val="008421D9"/>
    <w:rsid w:val="008E7093"/>
    <w:rsid w:val="008F4FD2"/>
    <w:rsid w:val="00957981"/>
    <w:rsid w:val="00B46903"/>
    <w:rsid w:val="00B46A4E"/>
    <w:rsid w:val="00E73F0E"/>
    <w:rsid w:val="00FC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6F"/>
    <w:pPr>
      <w:spacing w:after="120" w:line="285" w:lineRule="auto"/>
    </w:pPr>
    <w:rPr>
      <w:rFonts w:ascii="ITC Berkeley Oldstyle Std Bk" w:eastAsia="Times New Roman" w:hAnsi="ITC Berkeley Oldstyle Std Bk" w:cs="Times New Roman"/>
      <w:color w:val="000000"/>
      <w:kern w:val="28"/>
      <w:sz w:val="24"/>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6F"/>
    <w:pPr>
      <w:spacing w:after="120" w:line="285" w:lineRule="auto"/>
    </w:pPr>
    <w:rPr>
      <w:rFonts w:ascii="ITC Berkeley Oldstyle Std Bk" w:eastAsia="Times New Roman" w:hAnsi="ITC Berkeley Oldstyle Std Bk" w:cs="Times New Roman"/>
      <w:color w:val="000000"/>
      <w:kern w:val="28"/>
      <w:sz w:val="24"/>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644749">
      <w:bodyDiv w:val="1"/>
      <w:marLeft w:val="0"/>
      <w:marRight w:val="0"/>
      <w:marTop w:val="0"/>
      <w:marBottom w:val="0"/>
      <w:divBdr>
        <w:top w:val="none" w:sz="0" w:space="0" w:color="auto"/>
        <w:left w:val="none" w:sz="0" w:space="0" w:color="auto"/>
        <w:bottom w:val="none" w:sz="0" w:space="0" w:color="auto"/>
        <w:right w:val="none" w:sz="0" w:space="0" w:color="auto"/>
      </w:divBdr>
    </w:div>
    <w:div w:id="20423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catts</dc:creator>
  <cp:lastModifiedBy>catts</cp:lastModifiedBy>
  <cp:revision>2</cp:revision>
  <cp:lastPrinted>2012-11-20T21:58:00Z</cp:lastPrinted>
  <dcterms:created xsi:type="dcterms:W3CDTF">2012-11-20T19:00:00Z</dcterms:created>
  <dcterms:modified xsi:type="dcterms:W3CDTF">2012-11-20T22:53:00Z</dcterms:modified>
</cp:coreProperties>
</file>