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55B" w:rsidRPr="0052255B" w:rsidRDefault="0052255B" w:rsidP="0052255B">
      <w:pPr>
        <w:spacing w:before="240"/>
        <w:rPr>
          <w:b/>
          <w:sz w:val="28"/>
          <w:szCs w:val="28"/>
        </w:rPr>
      </w:pPr>
      <w:bookmarkStart w:id="0" w:name="_GoBack"/>
      <w:bookmarkEnd w:id="0"/>
      <w:r w:rsidRPr="0052255B">
        <w:rPr>
          <w:b/>
          <w:sz w:val="28"/>
          <w:szCs w:val="28"/>
        </w:rPr>
        <w:t>New User Fee Structure:</w:t>
      </w:r>
    </w:p>
    <w:p w:rsidR="0019316D" w:rsidRDefault="00DE1717" w:rsidP="000911F9">
      <w:r>
        <w:t>A</w:t>
      </w:r>
      <w:r w:rsidR="0052255B" w:rsidRPr="00302522">
        <w:t xml:space="preserve"> user fee of </w:t>
      </w:r>
      <w:r w:rsidR="0052255B" w:rsidRPr="00CA33E0">
        <w:t>$5 per year</w:t>
      </w:r>
      <w:r>
        <w:t xml:space="preserve"> (August 1 – July 30</w:t>
      </w:r>
      <w:r w:rsidRPr="00DE1717">
        <w:rPr>
          <w:vertAlign w:val="superscript"/>
        </w:rPr>
        <w:t>th</w:t>
      </w:r>
      <w:r>
        <w:t>)</w:t>
      </w:r>
      <w:r w:rsidR="0052255B">
        <w:t>,</w:t>
      </w:r>
      <w:r w:rsidR="0052255B" w:rsidRPr="00CA33E0">
        <w:t xml:space="preserve"> per student </w:t>
      </w:r>
      <w:r w:rsidR="0052255B">
        <w:t xml:space="preserve">user </w:t>
      </w:r>
      <w:r w:rsidR="0052255B" w:rsidRPr="00302522">
        <w:t>to</w:t>
      </w:r>
      <w:r w:rsidR="0052255B">
        <w:t xml:space="preserve"> access the c</w:t>
      </w:r>
      <w:r w:rsidR="0052255B" w:rsidRPr="00306920">
        <w:t>omplement</w:t>
      </w:r>
      <w:r w:rsidR="0052255B" w:rsidRPr="00302522">
        <w:t xml:space="preserve"> of web and job posting resources from Wildcat Joblink</w:t>
      </w:r>
      <w:r w:rsidR="0052255B">
        <w:t xml:space="preserve"> - job postings, to resume referral and campus interviewing as well as a rich selection of online tools.  </w:t>
      </w:r>
      <w:r>
        <w:t>Bursar account billed upon first sign on with reminders each year.</w:t>
      </w:r>
    </w:p>
    <w:p w:rsidR="009D1415" w:rsidRDefault="009D1415" w:rsidP="009D1415">
      <w:pPr>
        <w:spacing w:after="0"/>
        <w:rPr>
          <w:b/>
          <w:sz w:val="28"/>
          <w:szCs w:val="28"/>
        </w:rPr>
      </w:pPr>
      <w:r w:rsidRPr="009D1415">
        <w:rPr>
          <w:b/>
          <w:sz w:val="28"/>
          <w:szCs w:val="28"/>
        </w:rPr>
        <w:t>Benefits</w:t>
      </w:r>
      <w:r w:rsidR="002F1775">
        <w:rPr>
          <w:b/>
          <w:sz w:val="28"/>
          <w:szCs w:val="28"/>
        </w:rPr>
        <w:t>:</w:t>
      </w:r>
    </w:p>
    <w:p w:rsidR="009D1415" w:rsidRPr="0042535C" w:rsidRDefault="009D1415" w:rsidP="009D1415">
      <w:pPr>
        <w:pStyle w:val="ListParagraph"/>
        <w:numPr>
          <w:ilvl w:val="0"/>
          <w:numId w:val="6"/>
        </w:numPr>
      </w:pPr>
      <w:r>
        <w:t xml:space="preserve">Smaller fee impact on students </w:t>
      </w:r>
      <w:r w:rsidRPr="00DF56A4">
        <w:t>overall</w:t>
      </w:r>
      <w:r w:rsidRPr="00DF56A4">
        <w:rPr>
          <w:b/>
        </w:rPr>
        <w:t>.</w:t>
      </w:r>
    </w:p>
    <w:p w:rsidR="009D1415" w:rsidRDefault="009D1415" w:rsidP="009D1415">
      <w:pPr>
        <w:pStyle w:val="ListParagraph"/>
        <w:numPr>
          <w:ilvl w:val="0"/>
          <w:numId w:val="6"/>
        </w:numPr>
      </w:pPr>
      <w:r>
        <w:t>The total user cost per student compared to the one-time cost per graduating student would be the same or less</w:t>
      </w:r>
      <w:r w:rsidRPr="0042535C">
        <w:t xml:space="preserve"> </w:t>
      </w:r>
      <w:r>
        <w:t>than the current structure.</w:t>
      </w:r>
    </w:p>
    <w:p w:rsidR="009D1415" w:rsidRPr="00DF56A4" w:rsidRDefault="009D1415" w:rsidP="009D1415">
      <w:pPr>
        <w:pStyle w:val="ListParagraph"/>
        <w:numPr>
          <w:ilvl w:val="0"/>
          <w:numId w:val="6"/>
        </w:numPr>
      </w:pPr>
      <w:r>
        <w:t xml:space="preserve">Broader participation in resume referral system would significantly boost employer </w:t>
      </w:r>
      <w:r w:rsidR="00F02691">
        <w:t>referral</w:t>
      </w:r>
      <w:r>
        <w:t xml:space="preserve"> activity</w:t>
      </w:r>
      <w:r w:rsidRPr="00DF56A4">
        <w:t>.</w:t>
      </w:r>
    </w:p>
    <w:p w:rsidR="009D1415" w:rsidRDefault="009D1415" w:rsidP="009D1415">
      <w:pPr>
        <w:pStyle w:val="ListParagraph"/>
        <w:numPr>
          <w:ilvl w:val="0"/>
          <w:numId w:val="6"/>
        </w:numPr>
      </w:pPr>
      <w:r>
        <w:t xml:space="preserve">Students paying the $5 annual user fee would have access to Wildcat Joblink job postings, On-campus Interviewing and resume referral as well as valuable </w:t>
      </w:r>
      <w:r w:rsidRPr="00DF56A4">
        <w:t>web-</w:t>
      </w:r>
      <w:r>
        <w:t>based modules including:</w:t>
      </w:r>
    </w:p>
    <w:p w:rsidR="009D1415" w:rsidRDefault="009D1415" w:rsidP="009D1415">
      <w:pPr>
        <w:pStyle w:val="ListParagraph"/>
        <w:numPr>
          <w:ilvl w:val="1"/>
          <w:numId w:val="6"/>
        </w:numPr>
      </w:pPr>
      <w:r>
        <w:t>Career Assessment and Decision Making tools</w:t>
      </w:r>
    </w:p>
    <w:p w:rsidR="009D1415" w:rsidRDefault="009D1415" w:rsidP="009D1415">
      <w:pPr>
        <w:pStyle w:val="ListParagraph"/>
        <w:numPr>
          <w:ilvl w:val="1"/>
          <w:numId w:val="6"/>
        </w:numPr>
      </w:pPr>
      <w:r>
        <w:t>Internships.com – extensive national database of internship opportunities and programs with employer contact information</w:t>
      </w:r>
    </w:p>
    <w:p w:rsidR="009D1415" w:rsidRDefault="009D1415" w:rsidP="009D1415">
      <w:pPr>
        <w:pStyle w:val="ListParagraph"/>
        <w:numPr>
          <w:ilvl w:val="1"/>
          <w:numId w:val="6"/>
        </w:numPr>
      </w:pPr>
      <w:r>
        <w:t xml:space="preserve">Career Search – Robust database of national employers with </w:t>
      </w:r>
      <w:r w:rsidR="0029058A">
        <w:t xml:space="preserve">key </w:t>
      </w:r>
      <w:r>
        <w:t>contact and in depth company information</w:t>
      </w:r>
    </w:p>
    <w:p w:rsidR="009D1415" w:rsidRDefault="009D1415" w:rsidP="009D1415">
      <w:pPr>
        <w:pStyle w:val="ListParagraph"/>
        <w:numPr>
          <w:ilvl w:val="1"/>
          <w:numId w:val="6"/>
        </w:numPr>
      </w:pPr>
      <w:r>
        <w:t>Going Global – Database of International employers and how to tap into international markets from the U.S.</w:t>
      </w:r>
      <w:r w:rsidR="00694398">
        <w:t>,</w:t>
      </w:r>
      <w:r>
        <w:t xml:space="preserve"> of interest to many of our domestic students</w:t>
      </w:r>
    </w:p>
    <w:p w:rsidR="009D1415" w:rsidRDefault="009D1415" w:rsidP="009D1415">
      <w:pPr>
        <w:pStyle w:val="ListParagraph"/>
        <w:numPr>
          <w:ilvl w:val="1"/>
          <w:numId w:val="6"/>
        </w:numPr>
      </w:pPr>
      <w:r>
        <w:t>Vault On-line Career Libraries- extensive information on career fields with advice and models on how to break into those fields</w:t>
      </w:r>
    </w:p>
    <w:p w:rsidR="009D1415" w:rsidRDefault="009D1415" w:rsidP="009D1415">
      <w:pPr>
        <w:pStyle w:val="ListParagraph"/>
        <w:numPr>
          <w:ilvl w:val="1"/>
          <w:numId w:val="6"/>
        </w:numPr>
      </w:pPr>
      <w:r>
        <w:t>Resume Builder – customized and interactive program to walk students through the resume creation process from start to finish</w:t>
      </w:r>
    </w:p>
    <w:p w:rsidR="009D1415" w:rsidRDefault="009D1415" w:rsidP="009D1415">
      <w:pPr>
        <w:pStyle w:val="ListParagraph"/>
        <w:numPr>
          <w:ilvl w:val="1"/>
          <w:numId w:val="6"/>
        </w:numPr>
      </w:pPr>
      <w:r>
        <w:t xml:space="preserve">Interview Stream – an interactive mock interview experience customized by industry and provided by an online interviewer.  </w:t>
      </w:r>
    </w:p>
    <w:p w:rsidR="009D1415" w:rsidRDefault="009D1415" w:rsidP="009D1415">
      <w:pPr>
        <w:pStyle w:val="ListParagraph"/>
        <w:numPr>
          <w:ilvl w:val="0"/>
          <w:numId w:val="6"/>
        </w:numPr>
      </w:pPr>
      <w:r>
        <w:t>Students regardless of user fee would continue to have free access to:</w:t>
      </w:r>
    </w:p>
    <w:p w:rsidR="009D1415" w:rsidRDefault="009D1415" w:rsidP="009D1415">
      <w:pPr>
        <w:pStyle w:val="ListParagraph"/>
        <w:numPr>
          <w:ilvl w:val="1"/>
          <w:numId w:val="6"/>
        </w:numPr>
      </w:pPr>
      <w:r>
        <w:t>Career Counseling by appointment or walk-in hours</w:t>
      </w:r>
    </w:p>
    <w:p w:rsidR="009D1415" w:rsidRDefault="009D1415" w:rsidP="009D1415">
      <w:pPr>
        <w:pStyle w:val="ListParagraph"/>
        <w:numPr>
          <w:ilvl w:val="1"/>
          <w:numId w:val="6"/>
        </w:numPr>
      </w:pPr>
      <w:r>
        <w:t>Workshops offered in the career center or classroom presentation</w:t>
      </w:r>
    </w:p>
    <w:p w:rsidR="009D1415" w:rsidRDefault="009D1415" w:rsidP="009D1415">
      <w:pPr>
        <w:pStyle w:val="ListParagraph"/>
        <w:numPr>
          <w:ilvl w:val="1"/>
          <w:numId w:val="6"/>
        </w:numPr>
      </w:pPr>
      <w:r>
        <w:t>Web site information and access – all staff written content, web &amp; podcasts, free web career information sites, degree tracker- career information by major, etc.</w:t>
      </w:r>
    </w:p>
    <w:p w:rsidR="009D1415" w:rsidRDefault="009D1415" w:rsidP="009D1415">
      <w:pPr>
        <w:pStyle w:val="ListParagraph"/>
        <w:numPr>
          <w:ilvl w:val="1"/>
          <w:numId w:val="6"/>
        </w:numPr>
      </w:pPr>
      <w:r>
        <w:t>Career Library and Career Information Center</w:t>
      </w:r>
    </w:p>
    <w:p w:rsidR="009D1415" w:rsidRDefault="009D1415" w:rsidP="009D1415">
      <w:pPr>
        <w:pStyle w:val="ListParagraph"/>
        <w:numPr>
          <w:ilvl w:val="1"/>
          <w:numId w:val="6"/>
        </w:numPr>
      </w:pPr>
      <w:r>
        <w:t>Mock interviewing offered by Career Services staff</w:t>
      </w:r>
    </w:p>
    <w:p w:rsidR="009D1415" w:rsidRDefault="009D1415" w:rsidP="009D1415">
      <w:pPr>
        <w:pStyle w:val="ListParagraph"/>
        <w:numPr>
          <w:ilvl w:val="1"/>
          <w:numId w:val="6"/>
        </w:numPr>
      </w:pPr>
      <w:r>
        <w:t xml:space="preserve">Campus Career Fairs </w:t>
      </w:r>
    </w:p>
    <w:p w:rsidR="009D1415" w:rsidRDefault="009D1415" w:rsidP="009D1415">
      <w:pPr>
        <w:pStyle w:val="ListParagraph"/>
        <w:numPr>
          <w:ilvl w:val="1"/>
          <w:numId w:val="6"/>
        </w:numPr>
      </w:pPr>
      <w:r>
        <w:t>Resume Guide</w:t>
      </w:r>
    </w:p>
    <w:p w:rsidR="009D1415" w:rsidRPr="002F1775" w:rsidRDefault="009D1415" w:rsidP="009D1415">
      <w:pPr>
        <w:rPr>
          <w:rFonts w:cstheme="minorHAnsi"/>
          <w:b/>
          <w:sz w:val="28"/>
          <w:szCs w:val="28"/>
        </w:rPr>
      </w:pPr>
      <w:r w:rsidRPr="002F1775">
        <w:rPr>
          <w:rFonts w:cstheme="minorHAnsi"/>
          <w:b/>
          <w:sz w:val="28"/>
          <w:szCs w:val="28"/>
        </w:rPr>
        <w:lastRenderedPageBreak/>
        <w:t>Technology Infrastructure</w:t>
      </w:r>
      <w:r w:rsidR="002F1775" w:rsidRPr="002F1775">
        <w:rPr>
          <w:rFonts w:cstheme="minorHAnsi"/>
          <w:b/>
          <w:sz w:val="28"/>
          <w:szCs w:val="28"/>
        </w:rPr>
        <w:t>:</w:t>
      </w:r>
    </w:p>
    <w:p w:rsidR="009D1415" w:rsidRPr="0019316D" w:rsidRDefault="009D1415" w:rsidP="0019316D">
      <w:pPr>
        <w:spacing w:after="0"/>
        <w:rPr>
          <w:rFonts w:cstheme="minorHAnsi"/>
          <w:i/>
          <w:sz w:val="24"/>
          <w:szCs w:val="24"/>
        </w:rPr>
      </w:pPr>
      <w:r w:rsidRPr="0019316D">
        <w:rPr>
          <w:rFonts w:cstheme="minorHAnsi"/>
          <w:i/>
          <w:sz w:val="24"/>
          <w:szCs w:val="24"/>
        </w:rPr>
        <w:t>Student</w:t>
      </w:r>
    </w:p>
    <w:p w:rsidR="009D1415" w:rsidRPr="002F1775" w:rsidRDefault="009D1415" w:rsidP="009D1415">
      <w:pPr>
        <w:pStyle w:val="ListParagraph"/>
        <w:numPr>
          <w:ilvl w:val="0"/>
          <w:numId w:val="10"/>
        </w:numPr>
        <w:jc w:val="both"/>
        <w:rPr>
          <w:rFonts w:cstheme="minorHAnsi"/>
        </w:rPr>
      </w:pPr>
      <w:r w:rsidRPr="002F1775">
        <w:rPr>
          <w:rFonts w:cstheme="minorHAnsi"/>
        </w:rPr>
        <w:t xml:space="preserve">On first access to any protected, licensed web resource on the Career Services website, student will be asked if they wish to accept the user fee and User Agreement for accessing the web resources.  User agreement will include the understanding that it will renew annually on August 1 as long as they remain an active student; they will have the option to opt-out prior to the next period. </w:t>
      </w:r>
    </w:p>
    <w:p w:rsidR="009D1415" w:rsidRPr="002F1775" w:rsidRDefault="009D1415" w:rsidP="009D1415">
      <w:pPr>
        <w:pStyle w:val="ListParagraph"/>
        <w:numPr>
          <w:ilvl w:val="0"/>
          <w:numId w:val="10"/>
        </w:numPr>
        <w:jc w:val="both"/>
        <w:rPr>
          <w:rFonts w:cstheme="minorHAnsi"/>
        </w:rPr>
      </w:pPr>
      <w:r w:rsidRPr="002F1775">
        <w:rPr>
          <w:rFonts w:cstheme="minorHAnsi"/>
        </w:rPr>
        <w:t>Incoming New Students who access the system during the Summer Orientation period (i.e. May, June or July) for the following Fall will have their year extended slightly to avoid being assessed the user fee twice.</w:t>
      </w:r>
    </w:p>
    <w:p w:rsidR="009D1415" w:rsidRDefault="009D1415" w:rsidP="009D1415">
      <w:pPr>
        <w:pStyle w:val="ListParagraph"/>
        <w:numPr>
          <w:ilvl w:val="0"/>
          <w:numId w:val="10"/>
        </w:numPr>
        <w:jc w:val="both"/>
        <w:rPr>
          <w:rFonts w:cstheme="minorHAnsi"/>
        </w:rPr>
      </w:pPr>
      <w:r w:rsidRPr="002F1775">
        <w:rPr>
          <w:rFonts w:cstheme="minorHAnsi"/>
        </w:rPr>
        <w:t>Graduating students will expire automatically on July 31.</w:t>
      </w:r>
    </w:p>
    <w:p w:rsidR="00413946" w:rsidRPr="001118EA" w:rsidRDefault="00413946" w:rsidP="00413946">
      <w:pPr>
        <w:pStyle w:val="ListParagraph"/>
        <w:numPr>
          <w:ilvl w:val="0"/>
          <w:numId w:val="10"/>
        </w:numPr>
        <w:jc w:val="both"/>
        <w:rPr>
          <w:rFonts w:cstheme="minorHAnsi"/>
          <w:b/>
        </w:rPr>
      </w:pPr>
      <w:r>
        <w:rPr>
          <w:rFonts w:cstheme="minorHAnsi"/>
        </w:rPr>
        <w:t>Year</w:t>
      </w:r>
      <w:r w:rsidRPr="001118EA">
        <w:rPr>
          <w:rFonts w:cstheme="minorHAnsi"/>
          <w:b/>
        </w:rPr>
        <w:t>: August 1 to July 31</w:t>
      </w:r>
    </w:p>
    <w:p w:rsidR="001118EA" w:rsidRPr="001118EA" w:rsidRDefault="00413946" w:rsidP="001118EA">
      <w:pPr>
        <w:pStyle w:val="ListParagraph"/>
        <w:numPr>
          <w:ilvl w:val="0"/>
          <w:numId w:val="10"/>
        </w:numPr>
        <w:jc w:val="both"/>
        <w:rPr>
          <w:rFonts w:cstheme="minorHAnsi"/>
          <w:i/>
          <w:sz w:val="24"/>
          <w:szCs w:val="24"/>
        </w:rPr>
      </w:pPr>
      <w:r>
        <w:rPr>
          <w:rFonts w:cstheme="minorHAnsi"/>
        </w:rPr>
        <w:t xml:space="preserve">Departments who wish to pay for bulk uploaded student cohorts will have this option continued </w:t>
      </w:r>
    </w:p>
    <w:p w:rsidR="009D1415" w:rsidRPr="001118EA" w:rsidRDefault="009D1415" w:rsidP="001118EA">
      <w:pPr>
        <w:ind w:left="360"/>
        <w:jc w:val="both"/>
        <w:rPr>
          <w:rFonts w:cstheme="minorHAnsi"/>
          <w:i/>
          <w:sz w:val="24"/>
          <w:szCs w:val="24"/>
        </w:rPr>
      </w:pPr>
      <w:r w:rsidRPr="001118EA">
        <w:rPr>
          <w:rFonts w:cstheme="minorHAnsi"/>
          <w:i/>
          <w:sz w:val="24"/>
          <w:szCs w:val="24"/>
        </w:rPr>
        <w:t>Alumni</w:t>
      </w:r>
    </w:p>
    <w:p w:rsidR="009D1415" w:rsidRPr="002F1775" w:rsidRDefault="009D1415" w:rsidP="009D1415">
      <w:pPr>
        <w:pStyle w:val="ListParagraph"/>
        <w:numPr>
          <w:ilvl w:val="0"/>
          <w:numId w:val="10"/>
        </w:numPr>
        <w:jc w:val="both"/>
        <w:rPr>
          <w:rFonts w:cstheme="minorHAnsi"/>
        </w:rPr>
      </w:pPr>
      <w:r w:rsidRPr="002F1775">
        <w:rPr>
          <w:rFonts w:cstheme="minorHAnsi"/>
        </w:rPr>
        <w:t>On acceptance of the fee, system will open access to all web resources and activate the user for Campus Interviewing/Resume Referrals.  The $20 fee will be collected through the online credit card system.</w:t>
      </w:r>
    </w:p>
    <w:p w:rsidR="00DE1717" w:rsidRPr="00C90426" w:rsidRDefault="00DE1717" w:rsidP="00C90426">
      <w:pPr>
        <w:rPr>
          <w:rFonts w:cstheme="minorHAnsi"/>
          <w:b/>
          <w:sz w:val="28"/>
          <w:szCs w:val="28"/>
        </w:rPr>
      </w:pPr>
      <w:r w:rsidRPr="00C90426">
        <w:rPr>
          <w:rFonts w:cstheme="minorHAnsi"/>
          <w:b/>
          <w:sz w:val="28"/>
          <w:szCs w:val="28"/>
        </w:rPr>
        <w:t>Current User Fee Structure</w:t>
      </w:r>
      <w:r w:rsidR="001118EA">
        <w:rPr>
          <w:rFonts w:cstheme="minorHAnsi"/>
          <w:b/>
          <w:sz w:val="28"/>
          <w:szCs w:val="28"/>
        </w:rPr>
        <w:t xml:space="preserve"> To Be Replaced</w:t>
      </w:r>
      <w:r w:rsidRPr="00C90426">
        <w:rPr>
          <w:rFonts w:cstheme="minorHAnsi"/>
          <w:b/>
          <w:sz w:val="28"/>
          <w:szCs w:val="28"/>
        </w:rPr>
        <w:t>:</w:t>
      </w:r>
    </w:p>
    <w:p w:rsidR="00DE1717" w:rsidRPr="00DE1717" w:rsidRDefault="00DE1717" w:rsidP="00DE1717">
      <w:pPr>
        <w:pStyle w:val="ListParagraph"/>
        <w:numPr>
          <w:ilvl w:val="0"/>
          <w:numId w:val="10"/>
        </w:numPr>
        <w:rPr>
          <w:rFonts w:cstheme="minorHAnsi"/>
        </w:rPr>
      </w:pPr>
      <w:r w:rsidRPr="00DE1717">
        <w:rPr>
          <w:rFonts w:cstheme="minorHAnsi"/>
        </w:rPr>
        <w:t xml:space="preserve">Currently students (undergraduate and graduate) pay a one- time $25 fee to access the on-campus recruiting and resume referral portion of the Wildcat Joblink system in their year before graduation.  In addition, we charge a $50 alumni fee for OCR (after a six-month post- graduation grace period). </w:t>
      </w:r>
    </w:p>
    <w:p w:rsidR="0052255B" w:rsidRPr="002F1775" w:rsidRDefault="0052255B" w:rsidP="0052255B">
      <w:pPr>
        <w:rPr>
          <w:rFonts w:cstheme="minorHAnsi"/>
        </w:rPr>
      </w:pPr>
    </w:p>
    <w:sectPr w:rsidR="0052255B" w:rsidRPr="002F1775" w:rsidSect="0052255B">
      <w:headerReference w:type="even" r:id="rId8"/>
      <w:headerReference w:type="default" r:id="rId9"/>
      <w:footerReference w:type="even" r:id="rId10"/>
      <w:footerReference w:type="default" r:id="rId11"/>
      <w:headerReference w:type="first" r:id="rId12"/>
      <w:footerReference w:type="first" r:id="rId13"/>
      <w:pgSz w:w="12240" w:h="15840"/>
      <w:pgMar w:top="216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717" w:rsidRDefault="00DE1717" w:rsidP="00B923C6">
      <w:pPr>
        <w:spacing w:after="0" w:line="240" w:lineRule="auto"/>
      </w:pPr>
      <w:r>
        <w:separator/>
      </w:r>
    </w:p>
  </w:endnote>
  <w:endnote w:type="continuationSeparator" w:id="0">
    <w:p w:rsidR="00DE1717" w:rsidRDefault="00DE1717" w:rsidP="00B92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3E2" w:rsidRDefault="006153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717" w:rsidRDefault="00DE1717" w:rsidP="0052255B">
    <w:pPr>
      <w:pStyle w:val="Footer"/>
      <w:rPr>
        <w:color w:val="C80000"/>
      </w:rPr>
    </w:pPr>
  </w:p>
  <w:p w:rsidR="00DE1717" w:rsidRDefault="00DE1717" w:rsidP="0052255B">
    <w:pPr>
      <w:pStyle w:val="Footer"/>
      <w:rPr>
        <w:color w:val="C80000"/>
      </w:rPr>
    </w:pPr>
    <w:r>
      <w:rPr>
        <w:color w:val="C80000"/>
      </w:rPr>
      <w:t>E</w:t>
    </w:r>
    <w:r w:rsidRPr="00190579">
      <w:rPr>
        <w:color w:val="C80000"/>
      </w:rPr>
      <w:t>xplore. Experience. Achieve</w:t>
    </w:r>
    <w:r>
      <w:rPr>
        <w:color w:val="C80000"/>
      </w:rPr>
      <w:t>.</w:t>
    </w:r>
  </w:p>
  <w:p w:rsidR="00DE1717" w:rsidRPr="006159E1" w:rsidRDefault="00DE1717" w:rsidP="006159E1">
    <w:pPr>
      <w:pStyle w:val="Footer"/>
      <w:pBdr>
        <w:bottom w:val="single" w:sz="4" w:space="1" w:color="00005C"/>
      </w:pBdr>
      <w:jc w:val="right"/>
      <w:rPr>
        <w:color w:val="C80000"/>
        <w:sz w:val="4"/>
        <w:szCs w:val="4"/>
      </w:rPr>
    </w:pPr>
  </w:p>
  <w:p w:rsidR="00DE1717" w:rsidRPr="0052255B" w:rsidRDefault="00DE1717" w:rsidP="0052255B">
    <w:pPr>
      <w:spacing w:after="0" w:line="240" w:lineRule="auto"/>
      <w:jc w:val="right"/>
      <w:rPr>
        <w:rFonts w:cstheme="minorHAnsi"/>
        <w:color w:val="003399"/>
      </w:rPr>
    </w:pPr>
    <w:r w:rsidRPr="0052255B">
      <w:rPr>
        <w:rFonts w:cstheme="minorHAnsi"/>
        <w:color w:val="003399"/>
      </w:rPr>
      <w:t>Eileen McGarry, Director of Career Services</w:t>
    </w:r>
  </w:p>
  <w:p w:rsidR="00DE1717" w:rsidRPr="0052255B" w:rsidRDefault="00DE1717" w:rsidP="0052255B">
    <w:pPr>
      <w:spacing w:after="0" w:line="240" w:lineRule="auto"/>
      <w:jc w:val="right"/>
      <w:rPr>
        <w:rFonts w:cstheme="minorHAnsi"/>
        <w:color w:val="003399"/>
      </w:rPr>
    </w:pPr>
    <w:r w:rsidRPr="0052255B">
      <w:rPr>
        <w:rFonts w:cstheme="minorHAnsi"/>
        <w:color w:val="003399"/>
      </w:rPr>
      <w:t>April 4, 2012</w:t>
    </w:r>
  </w:p>
  <w:p w:rsidR="00DE1717" w:rsidRPr="0052255B" w:rsidRDefault="00DE1717" w:rsidP="0052255B">
    <w:pPr>
      <w:pStyle w:val="Footer"/>
      <w:jc w:val="right"/>
      <w:rPr>
        <w:color w:val="00339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3E2" w:rsidRDefault="006153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717" w:rsidRDefault="00DE1717" w:rsidP="00B923C6">
      <w:pPr>
        <w:spacing w:after="0" w:line="240" w:lineRule="auto"/>
      </w:pPr>
      <w:r>
        <w:separator/>
      </w:r>
    </w:p>
  </w:footnote>
  <w:footnote w:type="continuationSeparator" w:id="0">
    <w:p w:rsidR="00DE1717" w:rsidRDefault="00DE1717" w:rsidP="00B923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3E2" w:rsidRDefault="006153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717" w:rsidRDefault="00DE1717">
    <w:pPr>
      <w:pStyle w:val="Header"/>
    </w:pPr>
    <w:r>
      <w:rPr>
        <w:noProof/>
      </w:rPr>
      <w:drawing>
        <wp:inline distT="0" distB="0" distL="0" distR="0" wp14:anchorId="49F3668D" wp14:editId="19B20B63">
          <wp:extent cx="1418644" cy="546102"/>
          <wp:effectExtent l="19050" t="0" r="0" b="0"/>
          <wp:docPr id="4" name="Picture 3" descr="UA-Career Services_200-281 6-2-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Career Services_200-281 6-2-09.png"/>
                  <pic:cNvPicPr/>
                </pic:nvPicPr>
                <pic:blipFill>
                  <a:blip r:embed="rId1"/>
                  <a:stretch>
                    <a:fillRect/>
                  </a:stretch>
                </pic:blipFill>
                <pic:spPr>
                  <a:xfrm>
                    <a:off x="0" y="0"/>
                    <a:ext cx="1418644" cy="546102"/>
                  </a:xfrm>
                  <a:prstGeom prst="rect">
                    <a:avLst/>
                  </a:prstGeom>
                </pic:spPr>
              </pic:pic>
            </a:graphicData>
          </a:graphic>
        </wp:inline>
      </w:drawing>
    </w:r>
  </w:p>
  <w:p w:rsidR="00DE1717" w:rsidRPr="005E5606" w:rsidRDefault="00DE1717" w:rsidP="0043247B">
    <w:pPr>
      <w:pStyle w:val="Header"/>
      <w:pBdr>
        <w:bottom w:val="thickThinSmallGap" w:sz="24" w:space="1" w:color="00005C"/>
      </w:pBdr>
      <w:jc w:val="right"/>
      <w:rPr>
        <w:rFonts w:ascii="Arial" w:hAnsi="Arial" w:cs="Arial"/>
        <w:color w:val="003399"/>
      </w:rPr>
    </w:pPr>
    <w:r w:rsidRPr="005E5606">
      <w:rPr>
        <w:rFonts w:ascii="Arial" w:hAnsi="Arial" w:cs="Arial"/>
        <w:color w:val="003399"/>
      </w:rPr>
      <w:t>Career Services Student User Fee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3E2" w:rsidRDefault="006153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A045F"/>
    <w:multiLevelType w:val="hybridMultilevel"/>
    <w:tmpl w:val="C07CC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9AF312D"/>
    <w:multiLevelType w:val="hybridMultilevel"/>
    <w:tmpl w:val="240AF9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B1EEB"/>
    <w:multiLevelType w:val="hybridMultilevel"/>
    <w:tmpl w:val="B916F8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226F1D"/>
    <w:multiLevelType w:val="hybridMultilevel"/>
    <w:tmpl w:val="0BF03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BA4F80"/>
    <w:multiLevelType w:val="hybridMultilevel"/>
    <w:tmpl w:val="68006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5E53FF"/>
    <w:multiLevelType w:val="hybridMultilevel"/>
    <w:tmpl w:val="698EC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B651526"/>
    <w:multiLevelType w:val="hybridMultilevel"/>
    <w:tmpl w:val="F97827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966327"/>
    <w:multiLevelType w:val="hybridMultilevel"/>
    <w:tmpl w:val="EA6A73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2D0A61"/>
    <w:multiLevelType w:val="hybridMultilevel"/>
    <w:tmpl w:val="9E360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7C0470"/>
    <w:multiLevelType w:val="hybridMultilevel"/>
    <w:tmpl w:val="E668C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2A404C"/>
    <w:multiLevelType w:val="hybridMultilevel"/>
    <w:tmpl w:val="EF10C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9172D60"/>
    <w:multiLevelType w:val="hybridMultilevel"/>
    <w:tmpl w:val="F7229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9"/>
  </w:num>
  <w:num w:numId="5">
    <w:abstractNumId w:val="8"/>
  </w:num>
  <w:num w:numId="6">
    <w:abstractNumId w:val="3"/>
  </w:num>
  <w:num w:numId="7">
    <w:abstractNumId w:val="6"/>
  </w:num>
  <w:num w:numId="8">
    <w:abstractNumId w:val="4"/>
  </w:num>
  <w:num w:numId="9">
    <w:abstractNumId w:val="5"/>
  </w:num>
  <w:num w:numId="10">
    <w:abstractNumId w:val="0"/>
  </w:num>
  <w:num w:numId="11">
    <w:abstractNumId w:val="10"/>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3C6"/>
    <w:rsid w:val="000000B7"/>
    <w:rsid w:val="000911F9"/>
    <w:rsid w:val="001118EA"/>
    <w:rsid w:val="00190579"/>
    <w:rsid w:val="0019316D"/>
    <w:rsid w:val="001B591B"/>
    <w:rsid w:val="0029058A"/>
    <w:rsid w:val="002A5AED"/>
    <w:rsid w:val="002B0E9C"/>
    <w:rsid w:val="002F1775"/>
    <w:rsid w:val="002F5C09"/>
    <w:rsid w:val="003C1DCB"/>
    <w:rsid w:val="003F04DD"/>
    <w:rsid w:val="00403ABD"/>
    <w:rsid w:val="00413946"/>
    <w:rsid w:val="00420D30"/>
    <w:rsid w:val="0043247B"/>
    <w:rsid w:val="004F4F04"/>
    <w:rsid w:val="0052255B"/>
    <w:rsid w:val="00531ED0"/>
    <w:rsid w:val="00572BED"/>
    <w:rsid w:val="005E5606"/>
    <w:rsid w:val="005F449C"/>
    <w:rsid w:val="006153E2"/>
    <w:rsid w:val="006159E1"/>
    <w:rsid w:val="0067615A"/>
    <w:rsid w:val="006832A9"/>
    <w:rsid w:val="00691635"/>
    <w:rsid w:val="00694398"/>
    <w:rsid w:val="00721EA6"/>
    <w:rsid w:val="007E45E8"/>
    <w:rsid w:val="00840582"/>
    <w:rsid w:val="008B49C1"/>
    <w:rsid w:val="009A13E6"/>
    <w:rsid w:val="009D1415"/>
    <w:rsid w:val="00AA3734"/>
    <w:rsid w:val="00B0441E"/>
    <w:rsid w:val="00B923C6"/>
    <w:rsid w:val="00C71E67"/>
    <w:rsid w:val="00C739F5"/>
    <w:rsid w:val="00C763CA"/>
    <w:rsid w:val="00C90426"/>
    <w:rsid w:val="00D54590"/>
    <w:rsid w:val="00D9606E"/>
    <w:rsid w:val="00DE1717"/>
    <w:rsid w:val="00DE7C72"/>
    <w:rsid w:val="00E41012"/>
    <w:rsid w:val="00EA25BC"/>
    <w:rsid w:val="00EC5B78"/>
    <w:rsid w:val="00F02691"/>
    <w:rsid w:val="00F15372"/>
    <w:rsid w:val="00F60BEF"/>
    <w:rsid w:val="00F64D24"/>
    <w:rsid w:val="00F90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56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5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590"/>
  </w:style>
  <w:style w:type="paragraph" w:styleId="Footer">
    <w:name w:val="footer"/>
    <w:basedOn w:val="Normal"/>
    <w:link w:val="FooterChar"/>
    <w:uiPriority w:val="99"/>
    <w:unhideWhenUsed/>
    <w:rsid w:val="00B92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3C6"/>
  </w:style>
  <w:style w:type="paragraph" w:styleId="BalloonText">
    <w:name w:val="Balloon Text"/>
    <w:basedOn w:val="Normal"/>
    <w:link w:val="BalloonTextChar"/>
    <w:uiPriority w:val="99"/>
    <w:semiHidden/>
    <w:unhideWhenUsed/>
    <w:rsid w:val="00B923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3C6"/>
    <w:rPr>
      <w:rFonts w:ascii="Tahoma" w:hAnsi="Tahoma" w:cs="Tahoma"/>
      <w:sz w:val="16"/>
      <w:szCs w:val="16"/>
    </w:rPr>
  </w:style>
  <w:style w:type="paragraph" w:styleId="NoSpacing">
    <w:name w:val="No Spacing"/>
    <w:uiPriority w:val="1"/>
    <w:qFormat/>
    <w:rsid w:val="00691635"/>
    <w:pPr>
      <w:spacing w:after="0" w:line="240" w:lineRule="auto"/>
    </w:pPr>
  </w:style>
  <w:style w:type="character" w:customStyle="1" w:styleId="Heading1Char">
    <w:name w:val="Heading 1 Char"/>
    <w:basedOn w:val="DefaultParagraphFont"/>
    <w:link w:val="Heading1"/>
    <w:uiPriority w:val="9"/>
    <w:rsid w:val="005E560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E5606"/>
    <w:pPr>
      <w:ind w:left="720"/>
      <w:contextualSpacing/>
    </w:pPr>
  </w:style>
  <w:style w:type="table" w:styleId="TableGrid">
    <w:name w:val="Table Grid"/>
    <w:basedOn w:val="TableNormal"/>
    <w:uiPriority w:val="59"/>
    <w:rsid w:val="009D14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9D14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56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5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590"/>
  </w:style>
  <w:style w:type="paragraph" w:styleId="Footer">
    <w:name w:val="footer"/>
    <w:basedOn w:val="Normal"/>
    <w:link w:val="FooterChar"/>
    <w:uiPriority w:val="99"/>
    <w:unhideWhenUsed/>
    <w:rsid w:val="00B92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3C6"/>
  </w:style>
  <w:style w:type="paragraph" w:styleId="BalloonText">
    <w:name w:val="Balloon Text"/>
    <w:basedOn w:val="Normal"/>
    <w:link w:val="BalloonTextChar"/>
    <w:uiPriority w:val="99"/>
    <w:semiHidden/>
    <w:unhideWhenUsed/>
    <w:rsid w:val="00B923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3C6"/>
    <w:rPr>
      <w:rFonts w:ascii="Tahoma" w:hAnsi="Tahoma" w:cs="Tahoma"/>
      <w:sz w:val="16"/>
      <w:szCs w:val="16"/>
    </w:rPr>
  </w:style>
  <w:style w:type="paragraph" w:styleId="NoSpacing">
    <w:name w:val="No Spacing"/>
    <w:uiPriority w:val="1"/>
    <w:qFormat/>
    <w:rsid w:val="00691635"/>
    <w:pPr>
      <w:spacing w:after="0" w:line="240" w:lineRule="auto"/>
    </w:pPr>
  </w:style>
  <w:style w:type="character" w:customStyle="1" w:styleId="Heading1Char">
    <w:name w:val="Heading 1 Char"/>
    <w:basedOn w:val="DefaultParagraphFont"/>
    <w:link w:val="Heading1"/>
    <w:uiPriority w:val="9"/>
    <w:rsid w:val="005E560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E5606"/>
    <w:pPr>
      <w:ind w:left="720"/>
      <w:contextualSpacing/>
    </w:pPr>
  </w:style>
  <w:style w:type="table" w:styleId="TableGrid">
    <w:name w:val="Table Grid"/>
    <w:basedOn w:val="TableNormal"/>
    <w:uiPriority w:val="59"/>
    <w:rsid w:val="009D14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9D14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2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Resume Book Access</vt:lpstr>
    </vt:vector>
  </TitlesOfParts>
  <Company>WNC - University of Arizona</Company>
  <LinksUpToDate>false</LinksUpToDate>
  <CharactersWithSpaces>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Book Access</dc:title>
  <dc:creator>user</dc:creator>
  <cp:lastModifiedBy>Susan Miller</cp:lastModifiedBy>
  <cp:revision>2</cp:revision>
  <cp:lastPrinted>2012-04-16T15:11:00Z</cp:lastPrinted>
  <dcterms:created xsi:type="dcterms:W3CDTF">2012-06-04T20:58:00Z</dcterms:created>
  <dcterms:modified xsi:type="dcterms:W3CDTF">2012-06-04T20:58:00Z</dcterms:modified>
</cp:coreProperties>
</file>