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400C33">
        <w:rPr>
          <w:rFonts w:ascii="Times" w:eastAsia="Times New Roman" w:hAnsi="Times" w:cs="Times"/>
          <w:sz w:val="24"/>
          <w:szCs w:val="24"/>
        </w:rPr>
        <w:t xml:space="preserve">Honors Seminar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b/>
          <w:bCs/>
          <w:sz w:val="32"/>
          <w:szCs w:val="32"/>
        </w:rPr>
        <w:t>The Multilingual Subject</w:t>
      </w:r>
    </w:p>
    <w:p w:rsidR="00400C33" w:rsidRPr="00400C33" w:rsidRDefault="00400C33" w:rsidP="00400C33">
      <w:pPr>
        <w:spacing w:before="100" w:beforeAutospacing="1" w:after="100" w:afterAutospacing="1" w:line="240" w:lineRule="auto"/>
        <w:ind w:left="3600"/>
        <w:rPr>
          <w:rFonts w:ascii="Times New Roman" w:eastAsia="Times New Roman" w:hAnsi="Times New Roman" w:cs="Times New Roman"/>
          <w:sz w:val="24"/>
          <w:szCs w:val="24"/>
        </w:rPr>
      </w:pPr>
      <w:r w:rsidRPr="00400C33">
        <w:rPr>
          <w:rFonts w:ascii="Times" w:eastAsia="Times New Roman" w:hAnsi="Times" w:cs="Times"/>
          <w:sz w:val="20"/>
          <w:szCs w:val="20"/>
        </w:rPr>
        <w:t xml:space="preserve">“Languages have been, throughout human history, zones of silence to other men and razor-edges of division. Why this destructive prodigality?” </w:t>
      </w:r>
    </w:p>
    <w:p w:rsidR="00400C33" w:rsidRPr="00400C33" w:rsidRDefault="00400C33" w:rsidP="00400C33">
      <w:pPr>
        <w:spacing w:before="100" w:beforeAutospacing="1" w:after="100" w:afterAutospacing="1" w:line="240" w:lineRule="auto"/>
        <w:ind w:left="3600"/>
        <w:rPr>
          <w:rFonts w:ascii="Times New Roman" w:eastAsia="Times New Roman" w:hAnsi="Times New Roman" w:cs="Times New Roman"/>
          <w:sz w:val="24"/>
          <w:szCs w:val="24"/>
        </w:rPr>
      </w:pPr>
      <w:r w:rsidRPr="00400C33">
        <w:rPr>
          <w:rFonts w:ascii="Times" w:eastAsia="Times New Roman" w:hAnsi="Times" w:cs="Times"/>
          <w:sz w:val="20"/>
          <w:szCs w:val="20"/>
        </w:rPr>
        <w:t xml:space="preserve">—Georg Steiner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xml:space="preserve">What does it mean to live in more than one language? Is “being multilingual” a personal talent, a burden of circumstances, a civic necessity, a source of pleasure and knowledge, or a curse of history? In this honors seminar, we will work with a range of philosophical, literary, historical, and filmic texts in order to gain a richer understanding of the human condition in multiple-language situations. Whereas academic research in the humanities since the 1960s has intensified its focus on cultural identity and difference, fewer efforts have been made to pose questions about the puzzling planetary ecology of linguistic practices called “the world language system.” Students in this seminar will therefore collaborate in shaping the cutting-edge of an emerging research domain of language studies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Beyond its relevance in the humanities, multilingualism is increasingly a crucial factor in international business affairs, computing, data-management, and engineering. Technical industries such as GILT (Globalization, Internationalization, Localization, and Translation) are having a profound impact on our everyday lives, as transnational Internet sites seek to “speak the language” of a rapidly diversifying clientele of consumers. Our readings in this honors course will consider, among other issues, the linguistic impact of global labor migration and exile, multilingualism within families and communities, nation-building through language, the politics of translation, the pleasures of code-switching, and the relationship between language multiplicity and literary form.</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b/>
          <w:bCs/>
          <w:sz w:val="28"/>
          <w:szCs w:val="28"/>
        </w:rPr>
        <w:t>Eligibility</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This seminar is open to all honors students in the departments of French and Italian, Critical Languages, German Studies, Classics, Religious Studies, Africana Studies, East Asian Studies, Russian and Slavic Studies. Students from other departments may be admitted in consultation with the instructor and the student’s home department undergraduate adviser. Students must have working knowledge of at least two languages in order to enroll in this course.</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b/>
          <w:bCs/>
          <w:sz w:val="28"/>
          <w:szCs w:val="28"/>
        </w:rPr>
        <w:t xml:space="preserve">Materials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shd w:val="clear" w:color="auto" w:fill="FFFF00"/>
        </w:rPr>
        <w:t>See course Web site on d2l</w:t>
      </w:r>
      <w:r w:rsidRPr="00400C33">
        <w:rPr>
          <w:rFonts w:ascii="Times" w:eastAsia="Times New Roman" w:hAnsi="Times" w:cs="Times"/>
          <w:sz w:val="24"/>
          <w:szCs w:val="24"/>
        </w:rPr>
        <w:t xml:space="preserve">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b/>
          <w:bCs/>
          <w:sz w:val="28"/>
          <w:szCs w:val="28"/>
        </w:rPr>
        <w:lastRenderedPageBreak/>
        <w:t xml:space="preserve">Evaluation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Attendance and participation 25%</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Reaction journals 25%</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Final presentation 25%</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Final paper 25%</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Total: 100%</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A = 90-100%</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B = 80-89%</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C = 70-79%</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D = 60-69%</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xml:space="preserve">F = 59 percent and lower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b/>
          <w:bCs/>
          <w:sz w:val="28"/>
          <w:szCs w:val="28"/>
        </w:rPr>
        <w:t>Course Components</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u w:val="single"/>
        </w:rPr>
        <w:t>Class participation and attendance</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In-class discussions are a way for you to solidify your own understanding of the readings and to build upon it through the ideas of others. Your active participation and readiness are a vital part of this course and will count towards your final grade. For this same reason attendance is mandatory. Your final grade will be lowered by 1% for each unexcused absence in excess of five.</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i/>
          <w:iCs/>
          <w:sz w:val="24"/>
          <w:szCs w:val="24"/>
        </w:rPr>
        <w:t>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u w:val="single"/>
        </w:rPr>
        <w:t>Reading Assignments and Reading Journal</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xml:space="preserve">In addition to regular reading assignments you are asked to keep a reading journal, in which you will respond to weekly prompts about the readings in a less structured way than in the Final Project. The journal is an opportunity to critically engage with your own reading process, collect </w:t>
      </w:r>
      <w:r w:rsidRPr="00400C33">
        <w:rPr>
          <w:rFonts w:ascii="Times" w:eastAsia="Times New Roman" w:hAnsi="Times" w:cs="Times"/>
          <w:sz w:val="24"/>
          <w:szCs w:val="24"/>
        </w:rPr>
        <w:lastRenderedPageBreak/>
        <w:t>potential ideas for the Final Project, and dialogue with the instructor, who will read and respond to the journals every 2-3 weeks.</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u w:val="single"/>
        </w:rPr>
        <w:t>Final project (presentation and paper)</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In the last weeks of this course, you will be asked to channel the insights and knowledge that you have developed over the course of the semester into a final project related to multilingualism and/or translation. Students will work in conjunction with the instructor and their other seminar colleagues to select and design the topic and format of their final project according to their particular interests, but their work is expected to result in two final products: a 15–minute, in-class presentation, and a 12-15 page research paper. Presentations will be scheduled during the 15</w:t>
      </w:r>
      <w:r w:rsidRPr="00400C33">
        <w:rPr>
          <w:rFonts w:ascii="Times" w:eastAsia="Times New Roman" w:hAnsi="Times" w:cs="Times"/>
          <w:sz w:val="24"/>
          <w:szCs w:val="24"/>
          <w:vertAlign w:val="superscript"/>
        </w:rPr>
        <w:t>th</w:t>
      </w:r>
      <w:r w:rsidRPr="00400C33">
        <w:rPr>
          <w:rFonts w:ascii="Times" w:eastAsia="Times New Roman" w:hAnsi="Times" w:cs="Times"/>
          <w:sz w:val="24"/>
          <w:szCs w:val="24"/>
        </w:rPr>
        <w:t xml:space="preserve"> week of the semester. The timeline for the final paper is provided below.</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Week 10: Submission of a proposal and description of final project</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xml:space="preserve">- Week 13 Submission of a three-page draft paper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xml:space="preserve">- Week 16 Final submission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b/>
          <w:bCs/>
          <w:sz w:val="28"/>
          <w:szCs w:val="28"/>
        </w:rPr>
        <w:t>Holidays and Special Events</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All holidays or special events observed by organized religions will be honored for those students who show affiliation with that particular religion. Absences pre-approved by the UA Dean of Students (or Dean's designee) will be honored.</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b/>
          <w:bCs/>
          <w:sz w:val="28"/>
          <w:szCs w:val="28"/>
        </w:rPr>
        <w:t>Student Code of Conduct and Code of Academic Integrity</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xml:space="preserve">Integrity is expected of every student in all academic work. The guiding principle of academic integrity is that a student's submitted work must be the student's own. Students engaging in academic dishonesty diminish their education and bring discredit to the academic community. Students shall not violate the </w:t>
      </w:r>
      <w:r w:rsidRPr="00400C33">
        <w:rPr>
          <w:rFonts w:ascii="Times" w:eastAsia="Times New Roman" w:hAnsi="Times" w:cs="Times"/>
          <w:i/>
          <w:iCs/>
          <w:sz w:val="24"/>
          <w:szCs w:val="24"/>
        </w:rPr>
        <w:t>Code of Academic Integrity</w:t>
      </w:r>
      <w:r w:rsidRPr="00400C33">
        <w:rPr>
          <w:rFonts w:ascii="Times" w:eastAsia="Times New Roman" w:hAnsi="Times" w:cs="Times"/>
          <w:sz w:val="24"/>
          <w:szCs w:val="24"/>
        </w:rPr>
        <w:t xml:space="preserve"> and shall avoid situations likely to compromise academic integrity. Students shall observe the provisions of the </w:t>
      </w:r>
      <w:r w:rsidRPr="00400C33">
        <w:rPr>
          <w:rFonts w:ascii="Times" w:eastAsia="Times New Roman" w:hAnsi="Times" w:cs="Times"/>
          <w:i/>
          <w:iCs/>
          <w:sz w:val="24"/>
          <w:szCs w:val="24"/>
        </w:rPr>
        <w:t>Code</w:t>
      </w:r>
      <w:r w:rsidRPr="00400C33">
        <w:rPr>
          <w:rFonts w:ascii="Times" w:eastAsia="Times New Roman" w:hAnsi="Times" w:cs="Times"/>
          <w:sz w:val="24"/>
          <w:szCs w:val="24"/>
        </w:rPr>
        <w:t xml:space="preserve">. Failure of faculty to prevent cheating does not excuse students from compliance with the </w:t>
      </w:r>
      <w:r w:rsidRPr="00400C33">
        <w:rPr>
          <w:rFonts w:ascii="Times" w:eastAsia="Times New Roman" w:hAnsi="Times" w:cs="Times"/>
          <w:i/>
          <w:iCs/>
          <w:sz w:val="24"/>
          <w:szCs w:val="24"/>
        </w:rPr>
        <w:t>Code</w:t>
      </w:r>
      <w:r w:rsidRPr="00400C33">
        <w:rPr>
          <w:rFonts w:ascii="Times" w:eastAsia="Times New Roman" w:hAnsi="Times" w:cs="Times"/>
          <w:sz w:val="24"/>
          <w:szCs w:val="24"/>
        </w:rPr>
        <w:t xml:space="preserve">. For the complete </w:t>
      </w:r>
      <w:r w:rsidRPr="00400C33">
        <w:rPr>
          <w:rFonts w:ascii="Times" w:eastAsia="Times New Roman" w:hAnsi="Times" w:cs="Times"/>
          <w:i/>
          <w:iCs/>
          <w:sz w:val="24"/>
          <w:szCs w:val="24"/>
        </w:rPr>
        <w:t>Code</w:t>
      </w:r>
      <w:r w:rsidRPr="00400C33">
        <w:rPr>
          <w:rFonts w:ascii="Times" w:eastAsia="Times New Roman" w:hAnsi="Times" w:cs="Times"/>
          <w:sz w:val="24"/>
          <w:szCs w:val="24"/>
        </w:rPr>
        <w:t xml:space="preserve">, refer to </w:t>
      </w:r>
      <w:hyperlink r:id="rId5" w:history="1">
        <w:r w:rsidRPr="00400C33">
          <w:rPr>
            <w:rFonts w:ascii="Times" w:eastAsia="Times New Roman" w:hAnsi="Times" w:cs="Times"/>
            <w:color w:val="0000FF"/>
            <w:sz w:val="24"/>
            <w:szCs w:val="24"/>
            <w:u w:val="single"/>
          </w:rPr>
          <w:t>http://catalog.arizona.edu/policies/994/acacode.htm</w:t>
        </w:r>
      </w:hyperlink>
      <w:r w:rsidRPr="00400C33">
        <w:rPr>
          <w:rFonts w:ascii="Times" w:eastAsia="Times New Roman" w:hAnsi="Times" w:cs="Times"/>
          <w:sz w:val="24"/>
          <w:szCs w:val="24"/>
        </w:rPr>
        <w:t xml:space="preserve"> and </w:t>
      </w:r>
      <w:hyperlink r:id="rId6" w:history="1">
        <w:r w:rsidRPr="00400C33">
          <w:rPr>
            <w:rFonts w:ascii="Times" w:eastAsia="Times New Roman" w:hAnsi="Times" w:cs="Times"/>
            <w:color w:val="0000FF"/>
            <w:sz w:val="24"/>
            <w:szCs w:val="24"/>
            <w:u w:val="single"/>
          </w:rPr>
          <w:t>http://studpubs. web.arizona.edu/policies/cacaint.htm</w:t>
        </w:r>
      </w:hyperlink>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b/>
          <w:bCs/>
          <w:sz w:val="28"/>
          <w:szCs w:val="28"/>
        </w:rPr>
        <w:lastRenderedPageBreak/>
        <w:t>Special Needs</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xml:space="preserve">Students with disabilities who require reasonable accommodations to fully participate in course activities or meet course requirements must register with the </w:t>
      </w:r>
      <w:hyperlink r:id="rId7" w:history="1">
        <w:r w:rsidRPr="00400C33">
          <w:rPr>
            <w:rFonts w:ascii="Times" w:eastAsia="Times New Roman" w:hAnsi="Times" w:cs="Times"/>
            <w:i/>
            <w:iCs/>
            <w:color w:val="0000FF"/>
            <w:sz w:val="24"/>
            <w:szCs w:val="24"/>
            <w:u w:val="single"/>
          </w:rPr>
          <w:t>Disability Resource Center</w:t>
        </w:r>
      </w:hyperlink>
      <w:r w:rsidRPr="00400C33">
        <w:rPr>
          <w:rFonts w:ascii="Times" w:eastAsia="Times New Roman" w:hAnsi="Times" w:cs="Times"/>
          <w:sz w:val="24"/>
          <w:szCs w:val="24"/>
        </w:rPr>
        <w:t xml:space="preserve"> </w:t>
      </w:r>
      <w:r w:rsidRPr="00400C33">
        <w:rPr>
          <w:rFonts w:ascii="Times" w:eastAsia="Times New Roman" w:hAnsi="Times" w:cs="Times"/>
          <w:i/>
          <w:iCs/>
          <w:sz w:val="24"/>
          <w:szCs w:val="24"/>
        </w:rPr>
        <w:t xml:space="preserve">(DRC) </w:t>
      </w:r>
      <w:r w:rsidRPr="00400C33">
        <w:rPr>
          <w:rFonts w:ascii="Times" w:eastAsia="Times New Roman" w:hAnsi="Times" w:cs="Times"/>
          <w:sz w:val="24"/>
          <w:szCs w:val="24"/>
        </w:rPr>
        <w:t xml:space="preserve">or the </w:t>
      </w:r>
      <w:r w:rsidRPr="00400C33">
        <w:rPr>
          <w:rFonts w:ascii="Times" w:eastAsia="Times New Roman" w:hAnsi="Times" w:cs="Times"/>
          <w:i/>
          <w:iCs/>
          <w:sz w:val="24"/>
          <w:szCs w:val="24"/>
        </w:rPr>
        <w:t>SALT</w:t>
      </w:r>
      <w:r w:rsidRPr="00400C33">
        <w:rPr>
          <w:rFonts w:ascii="Times" w:eastAsia="Times New Roman" w:hAnsi="Times" w:cs="Times"/>
          <w:sz w:val="24"/>
          <w:szCs w:val="24"/>
        </w:rPr>
        <w:t xml:space="preserve"> </w:t>
      </w:r>
      <w:r w:rsidRPr="00400C33">
        <w:rPr>
          <w:rFonts w:ascii="Times" w:eastAsia="Times New Roman" w:hAnsi="Times" w:cs="Times"/>
          <w:i/>
          <w:iCs/>
          <w:sz w:val="24"/>
          <w:szCs w:val="24"/>
        </w:rPr>
        <w:t>Center</w:t>
      </w:r>
      <w:r w:rsidRPr="00400C33">
        <w:rPr>
          <w:rFonts w:ascii="Times" w:eastAsia="Times New Roman" w:hAnsi="Times" w:cs="Times"/>
          <w:sz w:val="24"/>
          <w:szCs w:val="24"/>
        </w:rPr>
        <w:t xml:space="preserve">. If you qualify for services through </w:t>
      </w:r>
      <w:r w:rsidRPr="00400C33">
        <w:rPr>
          <w:rFonts w:ascii="Times" w:eastAsia="Times New Roman" w:hAnsi="Times" w:cs="Times"/>
          <w:i/>
          <w:iCs/>
          <w:sz w:val="24"/>
          <w:szCs w:val="24"/>
        </w:rPr>
        <w:t>DRC</w:t>
      </w:r>
      <w:r w:rsidRPr="00400C33">
        <w:rPr>
          <w:rFonts w:ascii="Times" w:eastAsia="Times New Roman" w:hAnsi="Times" w:cs="Times"/>
          <w:sz w:val="24"/>
          <w:szCs w:val="24"/>
        </w:rPr>
        <w:t>, bring your letter of accommodations to your instructors as soon as possible.</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b/>
          <w:bCs/>
          <w:sz w:val="28"/>
          <w:szCs w:val="28"/>
        </w:rPr>
        <w:t xml:space="preserve">Course Schedule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N.B. This course schedule is tentative and subject to revision. Please see News on the d2l site for up-dated weekly reading assignments.</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u w:val="single"/>
        </w:rPr>
        <w:t>Trans- and Multilingual Practices</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b/>
          <w:bCs/>
          <w:sz w:val="24"/>
          <w:szCs w:val="24"/>
        </w:rPr>
        <w:t xml:space="preserve">Week 1: Introduction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xml:space="preserve">Doris Sommer, selections from </w:t>
      </w:r>
      <w:r w:rsidRPr="00400C33">
        <w:rPr>
          <w:rFonts w:ascii="Times" w:eastAsia="Times New Roman" w:hAnsi="Times" w:cs="Times"/>
          <w:i/>
          <w:iCs/>
          <w:sz w:val="24"/>
          <w:szCs w:val="24"/>
        </w:rPr>
        <w:t>Introduction to</w:t>
      </w:r>
      <w:r w:rsidRPr="00400C33">
        <w:rPr>
          <w:rFonts w:ascii="Times" w:eastAsia="Times New Roman" w:hAnsi="Times" w:cs="Times"/>
          <w:sz w:val="24"/>
          <w:szCs w:val="24"/>
        </w:rPr>
        <w:t xml:space="preserve"> </w:t>
      </w:r>
      <w:r w:rsidRPr="00400C33">
        <w:rPr>
          <w:rFonts w:ascii="Times" w:eastAsia="Times New Roman" w:hAnsi="Times" w:cs="Times"/>
          <w:i/>
          <w:iCs/>
          <w:sz w:val="24"/>
          <w:szCs w:val="24"/>
        </w:rPr>
        <w:t xml:space="preserve">Bilingual Aesthetics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xml:space="preserve">Judy Schachner, </w:t>
      </w:r>
      <w:r w:rsidRPr="00400C33">
        <w:rPr>
          <w:rFonts w:ascii="Times" w:eastAsia="Times New Roman" w:hAnsi="Times" w:cs="Times"/>
          <w:i/>
          <w:iCs/>
          <w:sz w:val="24"/>
          <w:szCs w:val="24"/>
        </w:rPr>
        <w:t>Skippyjon Jones</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xml:space="preserve">David Sedaris, “Jesus Shaves”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b/>
          <w:bCs/>
          <w:sz w:val="24"/>
          <w:szCs w:val="24"/>
        </w:rPr>
        <w:t>Week 2</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Kees de Bot, “The Multilingual Lexicon: Modeling Selection and Control”</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M. M. Bakhtin, selections from</w:t>
      </w:r>
      <w:r w:rsidRPr="00400C33">
        <w:rPr>
          <w:rFonts w:ascii="Times" w:eastAsia="Times New Roman" w:hAnsi="Times" w:cs="Times"/>
          <w:i/>
          <w:iCs/>
          <w:sz w:val="24"/>
          <w:szCs w:val="24"/>
        </w:rPr>
        <w:t xml:space="preserve"> Discourse in the Novel</w:t>
      </w:r>
      <w:r w:rsidRPr="00400C33">
        <w:rPr>
          <w:rFonts w:ascii="Times" w:eastAsia="Times New Roman" w:hAnsi="Times" w:cs="Times"/>
          <w:sz w:val="24"/>
          <w:szCs w:val="24"/>
        </w:rPr>
        <w:t xml:space="preserve"> and “The Problem of Speech Genres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xml:space="preserve">Christine Brook-Rose, </w:t>
      </w:r>
      <w:r w:rsidRPr="00400C33">
        <w:rPr>
          <w:rFonts w:ascii="Times" w:eastAsia="Times New Roman" w:hAnsi="Times" w:cs="Times"/>
          <w:i/>
          <w:iCs/>
          <w:sz w:val="24"/>
          <w:szCs w:val="24"/>
        </w:rPr>
        <w:t>Between</w:t>
      </w:r>
      <w:r w:rsidRPr="00400C33">
        <w:rPr>
          <w:rFonts w:ascii="Times" w:eastAsia="Times New Roman" w:hAnsi="Times" w:cs="Times"/>
          <w:sz w:val="24"/>
          <w:szCs w:val="24"/>
        </w:rPr>
        <w:t xml:space="preserve"> (excerpts)</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b/>
          <w:bCs/>
          <w:sz w:val="24"/>
          <w:szCs w:val="24"/>
        </w:rPr>
        <w:t>Week 3</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xml:space="preserve">Film: </w:t>
      </w:r>
      <w:r w:rsidRPr="00400C33">
        <w:rPr>
          <w:rFonts w:ascii="Times" w:eastAsia="Times New Roman" w:hAnsi="Times" w:cs="Times"/>
          <w:i/>
          <w:iCs/>
          <w:sz w:val="24"/>
          <w:szCs w:val="24"/>
        </w:rPr>
        <w:t>Night on Earth</w:t>
      </w:r>
      <w:r w:rsidRPr="00400C33">
        <w:rPr>
          <w:rFonts w:ascii="Times" w:eastAsia="Times New Roman" w:hAnsi="Times" w:cs="Times"/>
          <w:sz w:val="24"/>
          <w:szCs w:val="24"/>
        </w:rPr>
        <w:t xml:space="preserve"> (dir. Jim Jarmusch)</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Yves Gambier, “Cinematic Tradaptation”</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Ingeborg Bachmann, “Simultan”</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lastRenderedPageBreak/>
        <w:t>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u w:val="single"/>
        </w:rPr>
        <w:t>Language, Affect and Memory</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b/>
          <w:bCs/>
          <w:sz w:val="24"/>
          <w:szCs w:val="24"/>
        </w:rPr>
        <w:t>Week 4</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xml:space="preserve">Eva Hoffman, </w:t>
      </w:r>
      <w:r w:rsidRPr="00400C33">
        <w:rPr>
          <w:rFonts w:ascii="Times" w:eastAsia="Times New Roman" w:hAnsi="Times" w:cs="Times"/>
          <w:i/>
          <w:iCs/>
          <w:sz w:val="24"/>
          <w:szCs w:val="24"/>
        </w:rPr>
        <w:t>Lost in Translation</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xml:space="preserve">George Steiner, selections from </w:t>
      </w:r>
      <w:r w:rsidRPr="00400C33">
        <w:rPr>
          <w:rFonts w:ascii="Times" w:eastAsia="Times New Roman" w:hAnsi="Times" w:cs="Times"/>
          <w:i/>
          <w:iCs/>
          <w:sz w:val="24"/>
          <w:szCs w:val="24"/>
        </w:rPr>
        <w:t>After Babel</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xml:space="preserve">**First Reaction Journals due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b/>
          <w:bCs/>
          <w:sz w:val="24"/>
          <w:szCs w:val="24"/>
        </w:rPr>
        <w:t>Weeks 5 &amp; 6</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xml:space="preserve">Elias Canetti, </w:t>
      </w:r>
      <w:r w:rsidRPr="00400C33">
        <w:rPr>
          <w:rFonts w:ascii="Times" w:eastAsia="Times New Roman" w:hAnsi="Times" w:cs="Times"/>
          <w:i/>
          <w:iCs/>
          <w:sz w:val="24"/>
          <w:szCs w:val="24"/>
        </w:rPr>
        <w:t>The Tongue Set Free</w:t>
      </w:r>
      <w:r w:rsidRPr="00400C33">
        <w:rPr>
          <w:rFonts w:ascii="Times" w:eastAsia="Times New Roman" w:hAnsi="Times" w:cs="Times"/>
          <w:sz w:val="24"/>
          <w:szCs w:val="24"/>
        </w:rPr>
        <w:t xml:space="preserve">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xml:space="preserve">Aneta Pavlenko, selections from </w:t>
      </w:r>
      <w:r w:rsidRPr="00400C33">
        <w:rPr>
          <w:rFonts w:ascii="Times" w:eastAsia="Times New Roman" w:hAnsi="Times" w:cs="Times"/>
          <w:i/>
          <w:iCs/>
          <w:sz w:val="24"/>
          <w:szCs w:val="24"/>
        </w:rPr>
        <w:t>Emotions and Multilingualism</w:t>
      </w:r>
      <w:r w:rsidRPr="00400C33">
        <w:rPr>
          <w:rFonts w:ascii="Times" w:eastAsia="Times New Roman" w:hAnsi="Times" w:cs="Times"/>
          <w:sz w:val="24"/>
          <w:szCs w:val="24"/>
        </w:rPr>
        <w:t xml:space="preserve">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b/>
          <w:bCs/>
          <w:sz w:val="24"/>
          <w:szCs w:val="24"/>
        </w:rPr>
        <w:t>Week 7</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xml:space="preserve">Film: </w:t>
      </w:r>
      <w:r w:rsidRPr="00400C33">
        <w:rPr>
          <w:rFonts w:ascii="Times" w:eastAsia="Times New Roman" w:hAnsi="Times" w:cs="Times"/>
          <w:i/>
          <w:iCs/>
          <w:sz w:val="24"/>
          <w:szCs w:val="24"/>
        </w:rPr>
        <w:t xml:space="preserve">Lost in Translation </w:t>
      </w:r>
      <w:r w:rsidRPr="00400C33">
        <w:rPr>
          <w:rFonts w:ascii="Times" w:eastAsia="Times New Roman" w:hAnsi="Times" w:cs="Times"/>
          <w:sz w:val="24"/>
          <w:szCs w:val="24"/>
        </w:rPr>
        <w:t>(dir. Sophia Coppola)</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Jorge Luís Borges, “On Dubbing”</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u w:val="single"/>
        </w:rPr>
        <w:t xml:space="preserve">Languages, Power and Identity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b/>
          <w:bCs/>
          <w:sz w:val="24"/>
          <w:szCs w:val="24"/>
        </w:rPr>
        <w:t>Week 9</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xml:space="preserve">Edward Sapir, selections from </w:t>
      </w:r>
      <w:r w:rsidRPr="00400C33">
        <w:rPr>
          <w:rFonts w:ascii="Times" w:eastAsia="Times New Roman" w:hAnsi="Times" w:cs="Times"/>
          <w:i/>
          <w:iCs/>
          <w:sz w:val="24"/>
          <w:szCs w:val="24"/>
        </w:rPr>
        <w:t xml:space="preserve">Language </w:t>
      </w:r>
      <w:r w:rsidRPr="00400C33">
        <w:rPr>
          <w:rFonts w:ascii="Times" w:eastAsia="Times New Roman" w:hAnsi="Times" w:cs="Times"/>
          <w:sz w:val="24"/>
          <w:szCs w:val="24"/>
        </w:rPr>
        <w:t>and</w:t>
      </w:r>
      <w:r w:rsidRPr="00400C33">
        <w:rPr>
          <w:rFonts w:ascii="Times" w:eastAsia="Times New Roman" w:hAnsi="Times" w:cs="Times"/>
          <w:i/>
          <w:iCs/>
          <w:sz w:val="24"/>
          <w:szCs w:val="24"/>
        </w:rPr>
        <w:t xml:space="preserve"> Linguistics as a Science.</w:t>
      </w:r>
      <w:r w:rsidRPr="00400C33">
        <w:rPr>
          <w:rFonts w:ascii="Times" w:eastAsia="Times New Roman" w:hAnsi="Times" w:cs="Times"/>
          <w:sz w:val="24"/>
          <w:szCs w:val="24"/>
        </w:rPr>
        <w:t xml:space="preserve">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xml:space="preserve">John Gumperz and S. C. Levinson, selections from </w:t>
      </w:r>
      <w:r w:rsidRPr="00400C33">
        <w:rPr>
          <w:rFonts w:ascii="Times" w:eastAsia="Times New Roman" w:hAnsi="Times" w:cs="Times"/>
          <w:i/>
          <w:iCs/>
          <w:sz w:val="24"/>
          <w:szCs w:val="24"/>
        </w:rPr>
        <w:t>Rethinking Linguistic Relativity</w:t>
      </w:r>
      <w:r w:rsidRPr="00400C33">
        <w:rPr>
          <w:rFonts w:ascii="Times" w:eastAsia="Times New Roman" w:hAnsi="Times" w:cs="Times"/>
          <w:sz w:val="24"/>
          <w:szCs w:val="24"/>
        </w:rPr>
        <w:t xml:space="preserve">.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b/>
          <w:bCs/>
          <w:sz w:val="24"/>
          <w:szCs w:val="24"/>
        </w:rPr>
        <w:t>Week 10</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xml:space="preserve">Jacques Derrida, </w:t>
      </w:r>
      <w:r w:rsidRPr="00400C33">
        <w:rPr>
          <w:rFonts w:ascii="Times" w:eastAsia="Times New Roman" w:hAnsi="Times" w:cs="Times"/>
          <w:i/>
          <w:iCs/>
          <w:sz w:val="24"/>
          <w:szCs w:val="24"/>
        </w:rPr>
        <w:t>Monolingualism of the Other, or, The Prosthesis of Origins.</w:t>
      </w:r>
      <w:r w:rsidRPr="00400C33">
        <w:rPr>
          <w:rFonts w:ascii="Times" w:eastAsia="Times New Roman" w:hAnsi="Times" w:cs="Times"/>
          <w:sz w:val="24"/>
          <w:szCs w:val="24"/>
        </w:rPr>
        <w:t xml:space="preserve">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xml:space="preserve">Mary Louise Pratt, “Building A New Public Idea about Language” and “Arts of the Contact Zone”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lastRenderedPageBreak/>
        <w:t xml:space="preserve">Werner Sollers, selections from </w:t>
      </w:r>
      <w:r w:rsidRPr="00400C33">
        <w:rPr>
          <w:rFonts w:ascii="Times" w:eastAsia="Times New Roman" w:hAnsi="Times" w:cs="Times"/>
          <w:i/>
          <w:iCs/>
          <w:sz w:val="24"/>
          <w:szCs w:val="24"/>
        </w:rPr>
        <w:t>Multilingual America.</w:t>
      </w:r>
      <w:r w:rsidRPr="00400C33">
        <w:rPr>
          <w:rFonts w:ascii="Times" w:eastAsia="Times New Roman" w:hAnsi="Times" w:cs="Times"/>
          <w:sz w:val="24"/>
          <w:szCs w:val="24"/>
        </w:rPr>
        <w:t xml:space="preserve">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**Reaction Journals Due</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b/>
          <w:bCs/>
          <w:sz w:val="24"/>
          <w:szCs w:val="24"/>
        </w:rPr>
        <w:t>Week 11</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xml:space="preserve">Claire Kramsch, “The Privilege of the Non-Native Speaker”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Franz Kafka, “Report for an Academy”</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xml:space="preserve">Film: </w:t>
      </w:r>
      <w:r w:rsidRPr="00400C33">
        <w:rPr>
          <w:rFonts w:ascii="Times" w:eastAsia="Times New Roman" w:hAnsi="Times" w:cs="Times"/>
          <w:i/>
          <w:iCs/>
          <w:sz w:val="24"/>
          <w:szCs w:val="24"/>
        </w:rPr>
        <w:t xml:space="preserve">The Edge of Heaven </w:t>
      </w:r>
      <w:r w:rsidRPr="00400C33">
        <w:rPr>
          <w:rFonts w:ascii="Times" w:eastAsia="Times New Roman" w:hAnsi="Times" w:cs="Times"/>
          <w:sz w:val="24"/>
          <w:szCs w:val="24"/>
        </w:rPr>
        <w:t>(dir. Fatih Akın)</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b/>
          <w:bCs/>
          <w:sz w:val="24"/>
          <w:szCs w:val="24"/>
        </w:rPr>
        <w:t>Week 12</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Mario Paolinelli, “Dubbing at the Gates of 3rd Millennium”</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xml:space="preserve">Daniel Meyer-Dinkgrafe, “Dubbing Practice in Germany”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Ramez Maluf, “Why Dubbing Has Not Caught on in the Arab World”</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Hamid Naficy, “Epistolarity and Textuality in Accented Cinema”</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Sheldon Lu, “Dialect and Modernity in 21st Century Sinophone Cinema”</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u w:val="single"/>
        </w:rPr>
        <w:t xml:space="preserve">Translation and the Traffic of Meanings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b/>
          <w:bCs/>
          <w:sz w:val="24"/>
          <w:szCs w:val="24"/>
        </w:rPr>
        <w:t>Week 13</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Walter Benjamin, “The Task of the Translator” and “The Work of Art in the Age of Mechanical Reproduction”</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xml:space="preserve">Emily Apter, “On Translation in a Global Market”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Examination of sample translations</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**Reaction Journals due</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b/>
          <w:bCs/>
          <w:sz w:val="24"/>
          <w:szCs w:val="24"/>
        </w:rPr>
        <w:t>Week 14</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Maier Sternberg, “Polylingualism as Reality and Translation as Mimesis”</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lastRenderedPageBreak/>
        <w:t>Roman Jakobson, “Linguistics and Poetics”</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Translation exercise</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b/>
          <w:bCs/>
          <w:sz w:val="24"/>
          <w:szCs w:val="24"/>
        </w:rPr>
        <w:t>Week 15</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Alistair Pennycook, ”English as a Language Always in Translation”</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xml:space="preserve">Anthony Pym, Introduction to </w:t>
      </w:r>
      <w:r w:rsidRPr="00400C33">
        <w:rPr>
          <w:rFonts w:ascii="Times" w:eastAsia="Times New Roman" w:hAnsi="Times" w:cs="Times"/>
          <w:i/>
          <w:iCs/>
          <w:sz w:val="24"/>
          <w:szCs w:val="24"/>
        </w:rPr>
        <w:t>The Moving Text: Localization, Translation, and Distribution</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b/>
          <w:bCs/>
          <w:sz w:val="24"/>
          <w:szCs w:val="24"/>
        </w:rPr>
        <w:t>Week 16</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Wrap-up and presentations</w:t>
      </w:r>
    </w:p>
    <w:p w:rsidR="00400C33" w:rsidRPr="00400C33" w:rsidRDefault="00400C33" w:rsidP="00400C33">
      <w:pPr>
        <w:spacing w:before="100" w:beforeAutospacing="1" w:after="100" w:afterAutospacing="1" w:line="240" w:lineRule="auto"/>
        <w:rPr>
          <w:rFonts w:ascii="Times New Roman" w:eastAsia="Times New Roman" w:hAnsi="Times New Roman" w:cs="Times New Roman"/>
          <w:sz w:val="24"/>
          <w:szCs w:val="24"/>
        </w:rPr>
      </w:pPr>
      <w:r w:rsidRPr="00400C33">
        <w:rPr>
          <w:rFonts w:ascii="Times" w:eastAsia="Times New Roman" w:hAnsi="Times" w:cs="Times"/>
          <w:sz w:val="24"/>
          <w:szCs w:val="24"/>
        </w:rPr>
        <w:t> </w:t>
      </w:r>
    </w:p>
    <w:p w:rsidR="001D564E" w:rsidRDefault="001D564E"/>
    <w:sectPr w:rsidR="001D5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C33"/>
    <w:rsid w:val="001D564E"/>
    <w:rsid w:val="00400C33"/>
    <w:rsid w:val="00662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0C3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0C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588755">
      <w:bodyDiv w:val="1"/>
      <w:marLeft w:val="0"/>
      <w:marRight w:val="0"/>
      <w:marTop w:val="0"/>
      <w:marBottom w:val="0"/>
      <w:divBdr>
        <w:top w:val="none" w:sz="0" w:space="0" w:color="auto"/>
        <w:left w:val="none" w:sz="0" w:space="0" w:color="auto"/>
        <w:bottom w:val="none" w:sz="0" w:space="0" w:color="auto"/>
        <w:right w:val="none" w:sz="0" w:space="0" w:color="auto"/>
      </w:divBdr>
      <w:divsChild>
        <w:div w:id="853034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rc.arizona.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udpubs.web.arizona.edu/policies/cacaint.htm" TargetMode="External"/><Relationship Id="rId5" Type="http://schemas.openxmlformats.org/officeDocument/2006/relationships/hyperlink" Target="http://catalog.arizona.edu/policies/994/acacode.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Greene</dc:creator>
  <cp:keywords/>
  <dc:description/>
  <cp:lastModifiedBy>Julie Reed</cp:lastModifiedBy>
  <cp:revision>2</cp:revision>
  <dcterms:created xsi:type="dcterms:W3CDTF">2011-10-26T16:33:00Z</dcterms:created>
  <dcterms:modified xsi:type="dcterms:W3CDTF">2011-10-26T16:33:00Z</dcterms:modified>
</cp:coreProperties>
</file>